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9CBFF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00" w:beforeAutospacing="0" w:after="313" w:afterLines="100" w:afterAutospacing="0" w:line="240" w:lineRule="auto"/>
        <w:ind w:left="0" w:leftChars="0" w:right="250" w:rightChars="119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榕环评〔2025〕53号</w:t>
      </w:r>
    </w:p>
    <w:p w14:paraId="75D71E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313" w:afterLines="10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</w:pPr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福州市生态环境局关于东南汽车城大道工程（榕泰酒店至大义小学段）环境影响报告表的审批意见</w:t>
      </w:r>
    </w:p>
    <w:p w14:paraId="497577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</w:pPr>
    </w:p>
    <w:p w14:paraId="1579DC1A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福州东南汽车城投资发展集团有限公司：</w:t>
      </w:r>
    </w:p>
    <w:p w14:paraId="2A4CCC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24" w:firstLineChars="195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你司报送的《东南汽车城大道工程（榕泰酒店至大义小学段）环境影响报告表》(以下简称《报告表》)收悉。根据《环境影响评价法》第二十二条等规定，并征求福州市闽侯生态环境局意见，现提出审批意见如下：</w:t>
      </w:r>
    </w:p>
    <w:p w14:paraId="0C9009C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一、东南汽车城大道工程（榕泰酒店至大义小学段）项目位于福州市闽侯县青口镇、祥谦镇、尚干镇，主要建设内容：道路、交通、桥梁、电力、通讯、给排水、照明、绿化工程等附属配套设施。其中道路工程主要建设：</w:t>
      </w:r>
      <w:r>
        <w:rPr>
          <w:rFonts w:hint="eastAsia" w:ascii="仿宋_GB2312" w:hAnsi="Times New Roman" w:eastAsia="仿宋_GB2312" w:cs="宋体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起点位于榕泰路口，下穿现状福银（京台）高速公路，并与规划福州至福清快轨(S1线）共线，终于大义小学顺接现状双向4车道水泥路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，长6.9km，宽50m，道路等级为城市主干路。沿线设置8座中小桥，其中新建桥梁7座，分别为兰一桥（桥跨2-13m,长26m,宽51.5m）、兰周二桥（桥跨2-10m,长20m,宽51.1m）、青口一桥（桥跨3-13m,长39m,宽48.15m）、青口二桥（桥跨3-20m,长60m,宽49.5m）、吉山一桥（桥跨1-20m,长20m,宽50m）、吉山二桥（桥跨1-20m,长20m,宽50m）、垮山桥（桥跨3-20m,长60m,宽50m）；拼宽桥梁1座，为宏屿桥（桥跨1-10m,长20m,宽56.5）。沿线设置3座人行天桥，分别为K0+411.5、K0+860.0、K6+834.5人行天桥。根据《报告表》评价结论，该项目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符合生态环境保护相关法律法规和政策，符合生态环境分区管控要求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。在严格落实《报告表》提出的各项生态环境保护和环境风险防控措施，加强环境管理的前提下，从环境影响角度分析，项目建设可行。我局原则同意《报告表》中所列建设项目的性质、规模、地点、工艺和拟采取的环境保护对策措施。</w:t>
      </w:r>
    </w:p>
    <w:p w14:paraId="0719FF52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360" w:lineRule="auto"/>
        <w:ind w:left="0" w:right="0" w:firstLine="624" w:firstLineChars="195"/>
        <w:jc w:val="both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项目在施工和运营中应认真落实《报告表》提出的各项环境保护措施，并重点做好以下工作：</w:t>
      </w:r>
    </w:p>
    <w:p w14:paraId="700A8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 w:cs="宋体"/>
          <w:color w:val="0000FF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（一）噪声污染防治。合理布局施工现场、安排施工作业时间，采取必要的措施防止施工噪声对沿线声环境敏感目标的影响。运营期</w:t>
      </w:r>
      <w:r>
        <w:rPr>
          <w:rFonts w:hint="eastAsia" w:ascii="仿宋_GB2312" w:eastAsia="仿宋_GB2312"/>
          <w:bCs/>
          <w:sz w:val="32"/>
          <w:szCs w:val="32"/>
        </w:rPr>
        <w:t>对《报告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表</w:t>
      </w:r>
      <w:r>
        <w:rPr>
          <w:rFonts w:hint="eastAsia" w:ascii="仿宋_GB2312" w:eastAsia="仿宋_GB2312"/>
          <w:bCs/>
          <w:sz w:val="32"/>
          <w:szCs w:val="32"/>
        </w:rPr>
        <w:t>》中所列噪声超标的敏感点采取改装隔声窗等必要的噪声防治措施，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并加强对沿线声环境敏感目标的噪声监测，预留资金，根据跟踪监测结果适时增补、完善噪声防治措施，确保声环境质量达到《声环境质量标准》（GB3096-2008）表1中2类、3类环境噪声限值（临街建筑以高于三层楼房以上(含三层)的建筑为主，第一排建筑物面向街道一侧范围内执行 4a类标准;临街建筑以低于三层楼房(含开阔地)的建筑为主，相邻区域为2类声环境功能区，道路边界外35米范围内执行4a类标准；相邻区域为3类声环境功能区，道路边界外25米范围内执行4a类标准），</w:t>
      </w:r>
      <w:r>
        <w:rPr>
          <w:rFonts w:hint="eastAsia" w:ascii="仿宋_GB2312" w:hAnsi="Times New Roman" w:eastAsia="仿宋_GB2312" w:cs="宋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bidi="ar"/>
        </w:rPr>
        <w:t> 评价范围内的学校、医院（疗养院、敬老院）等特殊敏感建筑，其室外昼间按60分贝、夜间按50分贝执行。</w:t>
      </w:r>
    </w:p>
    <w:p w14:paraId="5FAB51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（二）强化施工期环境管理，不得擅自扩大临时用地面积。</w:t>
      </w:r>
      <w:r>
        <w:rPr>
          <w:rFonts w:hint="eastAsia" w:ascii="仿宋_GB2312" w:eastAsia="仿宋_GB2312"/>
          <w:bCs/>
          <w:sz w:val="32"/>
          <w:szCs w:val="32"/>
          <w:highlight w:val="none"/>
          <w:lang w:eastAsia="zh-CN"/>
        </w:rPr>
        <w:t>易扬尘作业应采取湿法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施工场地应通过设置围挡、喷淋、道路洒水降尘等措施减少扬尘影响，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严格控制施工作业时间</w:t>
      </w:r>
      <w:r>
        <w:rPr>
          <w:rFonts w:hint="eastAsia" w:ascii="仿宋_GB2312" w:eastAsia="仿宋_GB2312"/>
          <w:bCs/>
          <w:sz w:val="32"/>
          <w:szCs w:val="32"/>
          <w:highlight w:val="none"/>
          <w:lang w:eastAsia="zh-CN"/>
        </w:rPr>
        <w:t>，减少对周边环境的影响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highlight w:val="none"/>
          <w:lang w:val="en-US" w:eastAsia="zh-CN"/>
        </w:rPr>
        <w:t>。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施工废水统一收集经沉淀池沉淀处理后回用，不外排。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桥墩施工应采用围堰灌桩，产生的钻渣、泥沙及其它废弃物应清运到岸上指定地点处置，灌桩出浆经沉淀后循环使用；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开挖土方应及时回填或清运，弃方运至渣土主管部门指定的弃土点。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施工结束后应及时对施工临时用地进行生态复垦和植被恢复。</w:t>
      </w:r>
    </w:p>
    <w:p w14:paraId="53E6A7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三、《报告表》批准后，如建设项目的性质、规模、地点、采用的生产工艺或者防治污染、防止生态破坏的措施发生重大变动的，应当依法重新报批项目环评。《报告表》自批准之日起满5年，项目方开工建设的，其环评应当依法报生态环境部门重新审核。</w:t>
      </w:r>
    </w:p>
    <w:p w14:paraId="10340AA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624" w:firstLineChars="195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四、项目应加强环境管理，推进落实各项生态环境保护措施。严格执行环境保护“三同时”制度，加强施工期环境管理。竣工后应按规定程序实施竣工环境保护验收。</w:t>
      </w:r>
    </w:p>
    <w:p w14:paraId="5C181F74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五、我局委托福州市生态环境保护综合执法支队开展该项目环保“三同时”监督检查，竣工后，由福州市闽侯生态环境局负责该项目日常环保监督管理工作。</w:t>
      </w:r>
    </w:p>
    <w:p w14:paraId="2CFC00AC">
      <w:pPr>
        <w:pStyle w:val="5"/>
        <w:widowControl/>
        <w:snapToGrid w:val="0"/>
        <w:spacing w:line="360" w:lineRule="auto"/>
        <w:ind w:right="1170" w:rightChars="557"/>
        <w:jc w:val="right"/>
        <w:rPr>
          <w:rFonts w:hint="eastAsia" w:ascii="仿宋_GB2312" w:eastAsia="仿宋_GB2312" w:cs="仿宋_GB2312"/>
          <w:highlight w:val="yellow"/>
          <w:lang w:eastAsia="zh-CN"/>
        </w:rPr>
      </w:pPr>
    </w:p>
    <w:p w14:paraId="04EE3C8A">
      <w:pPr>
        <w:spacing w:line="360" w:lineRule="auto"/>
        <w:rPr>
          <w:rFonts w:hint="eastAsia"/>
          <w:highlight w:val="none"/>
          <w:lang w:eastAsia="zh-CN"/>
        </w:rPr>
      </w:pPr>
    </w:p>
    <w:p w14:paraId="2A451B0C">
      <w:pPr>
        <w:pStyle w:val="5"/>
        <w:widowControl/>
        <w:snapToGrid w:val="0"/>
        <w:spacing w:line="360" w:lineRule="auto"/>
        <w:ind w:right="1170" w:rightChars="557"/>
        <w:jc w:val="right"/>
        <w:rPr>
          <w:rFonts w:hint="eastAsia" w:ascii="仿宋_GB2312" w:eastAsia="仿宋_GB2312" w:cs="仿宋_GB2312"/>
          <w:highlight w:val="none"/>
          <w:lang w:val="en-US"/>
        </w:rPr>
      </w:pPr>
      <w:r>
        <w:rPr>
          <w:rFonts w:hint="eastAsia" w:ascii="仿宋_GB2312" w:eastAsia="仿宋_GB2312" w:cs="仿宋_GB2312"/>
          <w:highlight w:val="none"/>
          <w:lang w:eastAsia="zh-CN"/>
        </w:rPr>
        <w:t>福州市生态环境局</w:t>
      </w:r>
    </w:p>
    <w:p w14:paraId="278E9AE0">
      <w:pPr>
        <w:pStyle w:val="5"/>
        <w:widowControl/>
        <w:snapToGrid w:val="0"/>
        <w:spacing w:line="360" w:lineRule="auto"/>
        <w:ind w:right="1170" w:rightChars="557"/>
        <w:jc w:val="right"/>
        <w:rPr>
          <w:rFonts w:hint="eastAsia" w:ascii="仿宋_GB2312" w:eastAsia="仿宋_GB2312" w:cs="仿宋_GB2312"/>
          <w:highlight w:val="none"/>
          <w:lang w:eastAsia="zh-CN"/>
        </w:rPr>
      </w:pPr>
      <w:r>
        <w:rPr>
          <w:rFonts w:hint="eastAsia" w:ascii="仿宋_GB2312" w:eastAsia="仿宋_GB2312" w:cs="仿宋_GB2312"/>
          <w:highlight w:val="none"/>
          <w:lang w:val="en-US"/>
        </w:rPr>
        <w:t>20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25</w:t>
      </w:r>
      <w:r>
        <w:rPr>
          <w:rFonts w:hint="eastAsia" w:ascii="仿宋_GB2312" w:eastAsia="仿宋_GB2312" w:cs="仿宋_GB2312"/>
          <w:highlight w:val="none"/>
          <w:lang w:eastAsia="zh-CN"/>
        </w:rPr>
        <w:t>年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9</w:t>
      </w:r>
      <w:r>
        <w:rPr>
          <w:rFonts w:hint="eastAsia" w:ascii="仿宋_GB2312" w:eastAsia="仿宋_GB2312" w:cs="仿宋_GB2312"/>
          <w:highlight w:val="none"/>
          <w:lang w:eastAsia="zh-CN"/>
        </w:rPr>
        <w:t>月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30</w:t>
      </w:r>
      <w:r>
        <w:rPr>
          <w:rFonts w:hint="eastAsia" w:ascii="仿宋_GB2312" w:eastAsia="仿宋_GB2312" w:cs="仿宋_GB2312"/>
          <w:highlight w:val="none"/>
          <w:lang w:eastAsia="zh-CN"/>
        </w:rPr>
        <w:t>日</w:t>
      </w:r>
    </w:p>
    <w:p w14:paraId="13FA68AA">
      <w:pPr>
        <w:spacing w:line="360" w:lineRule="auto"/>
        <w:rPr>
          <w:rFonts w:hint="eastAsia" w:ascii="仿宋_GB2312" w:eastAsia="仿宋_GB2312" w:cs="仿宋_GB2312"/>
          <w:highlight w:val="none"/>
          <w:lang w:eastAsia="zh-CN"/>
        </w:rPr>
      </w:pPr>
    </w:p>
    <w:p w14:paraId="5ADD6D20">
      <w:pPr>
        <w:spacing w:line="360" w:lineRule="auto"/>
        <w:rPr>
          <w:rFonts w:hint="eastAsia" w:ascii="仿宋_GB2312" w:eastAsia="仿宋_GB2312" w:cs="仿宋_GB2312"/>
          <w:highlight w:val="none"/>
          <w:lang w:eastAsia="zh-CN"/>
        </w:rPr>
      </w:pPr>
    </w:p>
    <w:p w14:paraId="377914C9">
      <w:pPr>
        <w:spacing w:line="360" w:lineRule="auto"/>
        <w:rPr>
          <w:rFonts w:hint="eastAsia" w:ascii="仿宋_GB2312" w:eastAsia="仿宋_GB2312" w:cs="仿宋_GB2312"/>
          <w:highlight w:val="none"/>
          <w:lang w:eastAsia="zh-CN"/>
        </w:rPr>
      </w:pPr>
    </w:p>
    <w:p w14:paraId="31F5AC2E">
      <w:pPr>
        <w:spacing w:line="360" w:lineRule="auto"/>
        <w:rPr>
          <w:rFonts w:hint="eastAsia" w:ascii="仿宋_GB2312" w:eastAsia="仿宋_GB2312" w:cs="仿宋_GB2312"/>
          <w:highlight w:val="none"/>
          <w:lang w:eastAsia="zh-CN"/>
        </w:rPr>
      </w:pPr>
    </w:p>
    <w:p w14:paraId="46B562D9">
      <w:pPr>
        <w:spacing w:line="360" w:lineRule="auto"/>
        <w:rPr>
          <w:rFonts w:hint="eastAsia" w:ascii="仿宋_GB2312" w:eastAsia="仿宋_GB2312" w:cs="仿宋_GB2312"/>
          <w:highlight w:val="none"/>
          <w:lang w:eastAsia="zh-CN"/>
        </w:rPr>
      </w:pPr>
    </w:p>
    <w:p w14:paraId="61BD65D1">
      <w:pPr>
        <w:pStyle w:val="2"/>
        <w:spacing w:beforeAutospacing="0" w:afterAutospacing="0" w:line="360" w:lineRule="auto"/>
        <w:rPr>
          <w:rFonts w:hint="eastAsia" w:ascii="仿宋_GB2312" w:eastAsia="仿宋_GB2312" w:cs="仿宋_GB2312"/>
          <w:highlight w:val="none"/>
          <w:lang w:eastAsia="zh-CN"/>
        </w:rPr>
      </w:pPr>
    </w:p>
    <w:p w14:paraId="6AFB4028">
      <w:pPr>
        <w:spacing w:line="360" w:lineRule="auto"/>
        <w:rPr>
          <w:rFonts w:hint="eastAsia"/>
          <w:highlight w:val="none"/>
          <w:lang w:val="en-US" w:eastAsia="zh-CN"/>
        </w:rPr>
      </w:pPr>
    </w:p>
    <w:p w14:paraId="2210CE68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eastAsia="仿宋_GB2312" w:cs="仿宋_GB2312"/>
          <w:highlight w:val="none"/>
          <w:lang w:val="en-US"/>
        </w:rPr>
      </w:pPr>
    </w:p>
    <w:tbl>
      <w:tblPr>
        <w:tblStyle w:val="10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885"/>
        <w:gridCol w:w="3675"/>
      </w:tblGrid>
      <w:tr w14:paraId="1733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DE460C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 w:line="360" w:lineRule="auto"/>
              <w:ind w:left="0" w:right="0" w:firstLine="179" w:firstLineChars="64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抄送：</w:t>
            </w:r>
          </w:p>
        </w:tc>
        <w:tc>
          <w:tcPr>
            <w:tcW w:w="7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2E2F10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0"/>
                <w:highlight w:val="none"/>
                <w:lang w:val="en-US" w:eastAsia="zh-CN" w:bidi="ar"/>
              </w:rPr>
              <w:t>福州市生态环境保护综合执法支队，福州市闽侯生态环境局，福建明达工程技术服务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highlight w:val="none"/>
                <w:lang w:val="en-US" w:eastAsia="zh-CN" w:bidi="ar"/>
              </w:rPr>
              <w:t>有限公司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0"/>
                <w:highlight w:val="none"/>
                <w:lang w:val="en-US" w:eastAsia="zh-CN" w:bidi="ar"/>
              </w:rPr>
              <w:t>。</w:t>
            </w:r>
          </w:p>
        </w:tc>
      </w:tr>
      <w:tr w14:paraId="43A1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AA0482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 w:line="360" w:lineRule="auto"/>
              <w:ind w:left="0" w:right="0" w:firstLine="179" w:firstLineChars="64"/>
              <w:jc w:val="both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福州市生态环境局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521AA7">
            <w:pPr>
              <w:keepNext w:val="0"/>
              <w:keepLines w:val="0"/>
              <w:widowControl w:val="0"/>
              <w:suppressLineNumbers w:val="0"/>
              <w:tabs>
                <w:tab w:val="left" w:pos="3882"/>
                <w:tab w:val="left" w:pos="3987"/>
              </w:tabs>
              <w:spacing w:before="0" w:beforeAutospacing="0" w:after="0" w:afterAutospacing="0" w:line="360" w:lineRule="auto"/>
              <w:ind w:left="0" w:right="311" w:rightChars="148"/>
              <w:jc w:val="right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2025年9月30日印发</w:t>
            </w:r>
          </w:p>
        </w:tc>
      </w:tr>
    </w:tbl>
    <w:p w14:paraId="671AF420">
      <w:pPr>
        <w:spacing w:line="360" w:lineRule="auto"/>
        <w:rPr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701" w:right="1587" w:bottom="141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4351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F29F9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5F29F9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0E5361"/>
    <w:multiLevelType w:val="singleLevel"/>
    <w:tmpl w:val="2B0E536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mU4YmM1MTQ3ZDUyOWQxMDA5OGU4MmQ5YTNiMDAifQ=="/>
  </w:docVars>
  <w:rsids>
    <w:rsidRoot w:val="2A7F762B"/>
    <w:rsid w:val="014F132C"/>
    <w:rsid w:val="01DD6FC1"/>
    <w:rsid w:val="0219705A"/>
    <w:rsid w:val="02951328"/>
    <w:rsid w:val="03CC5678"/>
    <w:rsid w:val="06CF3FDF"/>
    <w:rsid w:val="076B63F8"/>
    <w:rsid w:val="07B76A03"/>
    <w:rsid w:val="08877123"/>
    <w:rsid w:val="097912D2"/>
    <w:rsid w:val="0A0259D4"/>
    <w:rsid w:val="0A537496"/>
    <w:rsid w:val="0A7B2C42"/>
    <w:rsid w:val="0EBC0E2F"/>
    <w:rsid w:val="100F211B"/>
    <w:rsid w:val="11B15CE9"/>
    <w:rsid w:val="123E696C"/>
    <w:rsid w:val="12D0457D"/>
    <w:rsid w:val="1339568F"/>
    <w:rsid w:val="13941148"/>
    <w:rsid w:val="155C0219"/>
    <w:rsid w:val="15B63938"/>
    <w:rsid w:val="15E21487"/>
    <w:rsid w:val="16C049E6"/>
    <w:rsid w:val="17376763"/>
    <w:rsid w:val="173A433D"/>
    <w:rsid w:val="17C02571"/>
    <w:rsid w:val="185C0C0F"/>
    <w:rsid w:val="196B1FA1"/>
    <w:rsid w:val="1A07082D"/>
    <w:rsid w:val="1A2D6D57"/>
    <w:rsid w:val="1B9F3755"/>
    <w:rsid w:val="1CD5053C"/>
    <w:rsid w:val="1DB55799"/>
    <w:rsid w:val="203B1A63"/>
    <w:rsid w:val="20835F2C"/>
    <w:rsid w:val="210711EE"/>
    <w:rsid w:val="213F3844"/>
    <w:rsid w:val="219278A5"/>
    <w:rsid w:val="231015C1"/>
    <w:rsid w:val="23D1267C"/>
    <w:rsid w:val="25B53634"/>
    <w:rsid w:val="264F7B2D"/>
    <w:rsid w:val="26F17F87"/>
    <w:rsid w:val="26FA4A88"/>
    <w:rsid w:val="28A86FC8"/>
    <w:rsid w:val="2A7F762B"/>
    <w:rsid w:val="2CAD0908"/>
    <w:rsid w:val="2D2F4B41"/>
    <w:rsid w:val="2E214D74"/>
    <w:rsid w:val="2E831059"/>
    <w:rsid w:val="2F652F3C"/>
    <w:rsid w:val="31DF7D29"/>
    <w:rsid w:val="32432891"/>
    <w:rsid w:val="32781451"/>
    <w:rsid w:val="33B4282D"/>
    <w:rsid w:val="34414959"/>
    <w:rsid w:val="344B15E7"/>
    <w:rsid w:val="34565CE1"/>
    <w:rsid w:val="34B92A27"/>
    <w:rsid w:val="35D66A76"/>
    <w:rsid w:val="379F27DC"/>
    <w:rsid w:val="38FC70C7"/>
    <w:rsid w:val="396A64FB"/>
    <w:rsid w:val="3B3B26B4"/>
    <w:rsid w:val="3B7B6102"/>
    <w:rsid w:val="3C461732"/>
    <w:rsid w:val="3C5B4E8F"/>
    <w:rsid w:val="3DB945F5"/>
    <w:rsid w:val="3FB61A84"/>
    <w:rsid w:val="402C102B"/>
    <w:rsid w:val="407707ED"/>
    <w:rsid w:val="438B4B5B"/>
    <w:rsid w:val="43CA10AF"/>
    <w:rsid w:val="45314B84"/>
    <w:rsid w:val="45E83445"/>
    <w:rsid w:val="46377937"/>
    <w:rsid w:val="47C411B6"/>
    <w:rsid w:val="49203E9F"/>
    <w:rsid w:val="49641AB4"/>
    <w:rsid w:val="4A69668E"/>
    <w:rsid w:val="4A810DC1"/>
    <w:rsid w:val="4B456184"/>
    <w:rsid w:val="4B997BD4"/>
    <w:rsid w:val="4BC03622"/>
    <w:rsid w:val="4C12208B"/>
    <w:rsid w:val="4CD339FE"/>
    <w:rsid w:val="4DB67CDD"/>
    <w:rsid w:val="4E576091"/>
    <w:rsid w:val="5328504E"/>
    <w:rsid w:val="545C3B2A"/>
    <w:rsid w:val="562418E0"/>
    <w:rsid w:val="56B238A8"/>
    <w:rsid w:val="56D6723A"/>
    <w:rsid w:val="56DD30D8"/>
    <w:rsid w:val="56FA33C7"/>
    <w:rsid w:val="570F789F"/>
    <w:rsid w:val="5773682D"/>
    <w:rsid w:val="59790483"/>
    <w:rsid w:val="5AB30E80"/>
    <w:rsid w:val="5C394ABD"/>
    <w:rsid w:val="5D8466D6"/>
    <w:rsid w:val="5E49718B"/>
    <w:rsid w:val="610D1793"/>
    <w:rsid w:val="61464082"/>
    <w:rsid w:val="61AA6D4E"/>
    <w:rsid w:val="61AC3705"/>
    <w:rsid w:val="61BD2347"/>
    <w:rsid w:val="635B63B9"/>
    <w:rsid w:val="674F436D"/>
    <w:rsid w:val="676676DF"/>
    <w:rsid w:val="68A81837"/>
    <w:rsid w:val="698F10CC"/>
    <w:rsid w:val="69AA484A"/>
    <w:rsid w:val="6A20215B"/>
    <w:rsid w:val="6C2A2F12"/>
    <w:rsid w:val="6C524909"/>
    <w:rsid w:val="6C6B04B8"/>
    <w:rsid w:val="6CA5599E"/>
    <w:rsid w:val="6D0A06B5"/>
    <w:rsid w:val="6D8945FB"/>
    <w:rsid w:val="6E6E2E44"/>
    <w:rsid w:val="6EAD420C"/>
    <w:rsid w:val="6F460731"/>
    <w:rsid w:val="718D4C87"/>
    <w:rsid w:val="71BD5B16"/>
    <w:rsid w:val="723F3212"/>
    <w:rsid w:val="731146F1"/>
    <w:rsid w:val="73F3130E"/>
    <w:rsid w:val="749C56FE"/>
    <w:rsid w:val="75053496"/>
    <w:rsid w:val="75F77103"/>
    <w:rsid w:val="76CA152F"/>
    <w:rsid w:val="777B68B9"/>
    <w:rsid w:val="783B4C00"/>
    <w:rsid w:val="7AB16E00"/>
    <w:rsid w:val="7BAF2565"/>
    <w:rsid w:val="7C031292"/>
    <w:rsid w:val="7C145F64"/>
    <w:rsid w:val="7CC80452"/>
    <w:rsid w:val="7CDA4005"/>
    <w:rsid w:val="7D1049AA"/>
    <w:rsid w:val="7FA07A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kern w:val="2"/>
      <w:sz w:val="32"/>
      <w:szCs w:val="20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9">
    <w:name w:val="Body Text First Indent 2"/>
    <w:basedOn w:val="4"/>
    <w:qFormat/>
    <w:uiPriority w:val="0"/>
    <w:pPr>
      <w:spacing w:after="0" w:line="420" w:lineRule="exact"/>
      <w:ind w:left="0" w:leftChars="0" w:firstLine="420"/>
    </w:pPr>
    <w:rPr>
      <w:rFonts w:ascii="仿宋_GB2312" w:eastAsia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5文章(治) Char"/>
    <w:basedOn w:val="12"/>
    <w:qFormat/>
    <w:uiPriority w:val="0"/>
    <w:rPr>
      <w:rFonts w:hint="eastAsia" w:ascii="楷体_GB2312" w:eastAsia="楷体_GB2312" w:cs="楷体_GB2312"/>
      <w:kern w:val="2"/>
      <w:sz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1598</Words>
  <Characters>1744</Characters>
  <Lines>0</Lines>
  <Paragraphs>0</Paragraphs>
  <TotalTime>27</TotalTime>
  <ScaleCrop>false</ScaleCrop>
  <LinksUpToDate>false</LinksUpToDate>
  <CharactersWithSpaces>1746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2016-03-09T02:21:00Z</dcterms:created>
  <dc:creator>Yuri</dc:creator>
  <cp:lastModifiedBy>baby</cp:lastModifiedBy>
  <cp:lastPrinted>2025-09-03T07:16:00Z</cp:lastPrinted>
  <dcterms:modified xsi:type="dcterms:W3CDTF">2025-09-30T06:34:55Z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07A162A2473042D587B95B9EDB6B78DC_12</vt:lpwstr>
  </property>
  <property fmtid="{D5CDD505-2E9C-101B-9397-08002B2CF9AE}" pid="4" name="KSOTemplateDocerSaveRecord">
    <vt:lpwstr>eyJoZGlkIjoiMGQxMGM2NWJlN2Q1ZTkzMWY3Y2U5YTgzOTNjODgxZTIiLCJ1c2VySWQiOiIxMTIzNjQ4OTY3In0=</vt:lpwstr>
  </property>
</Properties>
</file>