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5C97E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00" w:beforeAutospacing="0" w:afterAutospacing="0" w:line="560" w:lineRule="exact"/>
        <w:ind w:left="0" w:leftChars="0" w:right="250" w:rightChars="119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榕环评〔2025〕15号</w:t>
      </w:r>
    </w:p>
    <w:p w14:paraId="35D284A7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120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福州市生态环境局</w:t>
      </w:r>
    </w:p>
    <w:p w14:paraId="447A33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关于福建吴航不锈钢制品有限公司VOD精炼炉改造项目环境影响报告书的审批意见</w:t>
      </w:r>
    </w:p>
    <w:p w14:paraId="1B1301DF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FB25F68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福建吴航不锈钢制品有限公司：</w:t>
      </w:r>
    </w:p>
    <w:p w14:paraId="58B6BDDF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你司报送的《福建吴航不锈钢制品有限公司VOD精炼炉改造项目环境影响报告书》(以下简称《报告书》)及申请审批的报告收悉。根据《中华人民共和国环境影响评价法》第二十二条等规定，经组织技术审查，并征求福州市长乐生态环境局意见，现提出审批意见如下：</w:t>
      </w:r>
    </w:p>
    <w:p w14:paraId="651B8A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一、福建吴航不锈钢制品有限公司VOD精炼炉改造项目位于福州市长乐区营前工商路110号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福建吴航不锈钢制品有限公司营前厂区内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，拟对现有VOD精炼炉进行改造，将VOD精炼炉公称容量从70吨提升至80吨，将VOD精炼炉抽真空系统从蒸汽喷射泵改为干式机械泵，项目不新增产能，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VOD精炼的奥氏体300系列不锈钢产量仍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为9.766万t/a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。福州市长乐区工业和信息化局已对项目进行备案（编号：闽工信备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〔2024〕0419号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）。</w:t>
      </w:r>
    </w:p>
    <w:p w14:paraId="2F19BC6C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根据《报告书》评价结论和福州市环境影响评价技术中心的技术评估报告（编号2-2025-010），该项目建设符合生态环境保护相关法律法规和政策，符合生态环境分区管控、所在区域规划及规划环评要求，在严格落实工信部门产能管理要求以及《报告书》提出的各项生态环境保护和环境风险防控措施，加强环境管理的前提下，从环境影响角度分析，项目建设可行。我局原则同意《报告书》中所列建设项目的性质、规模、地点、工艺和拟采取的环境保护对策措施。</w:t>
      </w:r>
    </w:p>
    <w:p w14:paraId="6A2DA84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宋体" w:eastAsia="仿宋_GB2312" w:cs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二、项目在设计、建设和运营过程中应认真落实《报告书》提出的各项生态环境保护措施和要求，采取严格有效的污染防治、环境风险防控措施，确保各类污染物达标排放，环境风险有效防控。着重做好以下工作：</w:t>
      </w:r>
    </w:p>
    <w:p w14:paraId="503EE8DB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严格落实各类废气污染防治措施，最大程度减少废气无组织排放。VOD炉产生的工艺废气经配套密闭烟气管道收集后，接入现有的南区2#AOD炉废气治理设施一并处理达标后，由现有1根45米高的排气筒（DA002）排放。根据《报告书》结论及技术评估意见，本项目投产后，全厂环境防护距离为：炼钢车间外300米范围和H型钢车间外100米范围。在环境防护距离范围内不得规划建设居民区、医院、学校等环境空气敏感目标。你司应配合当地政府和建设规划部门，做好防护距离内的规划用地控制工作。</w:t>
      </w:r>
    </w:p>
    <w:p w14:paraId="700B6F3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（二）按照“雨污分流、清污分流”原则，建设完善的污水及雨水收集系统。项目间接冷却水循环使用，不外排。</w:t>
      </w:r>
    </w:p>
    <w:p w14:paraId="0405B34F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default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（三）按照相关技术规范及《报告书》要求严格落实分区防渗措施，并设置地下水监测井。建立完善的土壤和地下水监测制度，防止土壤及地下水污染。</w:t>
      </w:r>
    </w:p>
    <w:p w14:paraId="7D27CB7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（四）选用先进的低噪声机械、设备及装置，对VOD炉、真空泵、风机等主要噪声设备进行消声、隔声、减振处理，确保厂界噪声达标。</w:t>
      </w:r>
    </w:p>
    <w:p w14:paraId="492FD3D5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（五）按照“减量化、无害化、资源化”原则，对固体废物实施分类收集、贮存、处理和处置。规范建立固体废物管理台账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，加强全过程规范化管理，确保不造成二次污染。废矿物油、废布袋等危险废物应委托有资质单位处置，危险废物中电炉除尘灰厂内制粒后回用于生产。废炉渣等一般工业固体废物外售回收公司；生活垃圾定点分类收集，由环卫部门统一清运。</w:t>
      </w:r>
    </w:p>
    <w:p w14:paraId="584BE21C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六）你司应建立严格的环保管理制度，设立相应的环境管理和监测机构，配套专职环保管理人员，加强环保设施运行管理与维护。加强施工期环境保护管理，控制施工期扬尘、污水、噪声等对周边环境的影响。认真落实环境监测计划，按照《报告书》确认的监测点位、项目及频次组织开展环境监测，监测结果及时报当地生态环境部门备案。</w:t>
      </w:r>
    </w:p>
    <w:p w14:paraId="490102B8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textAlignment w:val="baseline"/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highlight w:val="none"/>
          <w:vertAlign w:val="baseli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三、污染物排放标准及主要污染物允许排放总量</w:t>
      </w:r>
    </w:p>
    <w:p w14:paraId="263A572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left"/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（一）污染物排放标准</w:t>
      </w:r>
    </w:p>
    <w:p w14:paraId="1E0C1C7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default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.废气。非甲烷总烃有组织排放执行《工业企业挥发性有机物排放标准》（DB35/1782-2018）表1排气筒挥发性有机物排放限值中其他行业排放标准；非甲烷总烃无组织排放执行《工业企业挥发性有机物排放标准》（DB35/1782-2018）表2厂区内监控点浓度限值和表3企业边界监控点浓度限值。颗粒物有组织排放执行《关于推进实施钢铁行业超低排放的意见》（环大气〔2019〕35号）钢铁企业超低排放指标限值；颗粒物无组织排放执行《大气污染物综合排放标准》(GB16297-1996)表2中无组织排放监控浓度限值。氟化物、镍及其化合物排放参照执行《铜、镍、钴工业污染物排放标准》（GB25467-2010）修改单中表1大气污染物特别排放限值；铬及其化合物排放参照执行《铁合金工业污染物排放标准》（GB28666-2012）中表6大气污染物特别排放限值。</w:t>
      </w:r>
    </w:p>
    <w:p w14:paraId="57467EB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2.噪声。北侧和南侧厂界噪声执行《工业企业厂界环境噪声排放标准》（GB12348-2008）中4类标准，东侧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西侧厂界执行《工业企业厂界环境噪声排放标准》（GB12348-2008）中3类标准；施工期噪声执行《建筑施工场界环境噪声排放标准》（GB12523-2011）。</w:t>
      </w:r>
    </w:p>
    <w:p w14:paraId="75372C99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.固体废物。一般固体废物处置执行《一般工业固体废物贮存和填埋污染控制标准》（GB18599-2020）；危险废物临时贮存执行《危险废物贮存污染控制标准》（GB18597-2023）中相关规定，转移管理执行《危险废物转移管理办法》（部令第23号）中相关规定。</w:t>
      </w:r>
    </w:p>
    <w:p w14:paraId="0769DE0C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left"/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（二）新增主要污染物排放总量及交易、调剂要求</w:t>
      </w:r>
    </w:p>
    <w:p w14:paraId="21900DCB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项目投产后，新增VOCs排放总量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0.00957吨/年，不新增二氧化硫和氮氧化物排放总量。项目改扩建后全厂主要污染物排放总量控制要求：二氧化硫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150吨/年、氮氧化物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≤198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.15吨/年、VOCs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0.00957吨/年。项目投产前应由生态环境部门统筹总量指标替代来源。</w:t>
      </w:r>
    </w:p>
    <w:p w14:paraId="18E4D40E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四、《报告书》批准后，如建设项目的性质、规模、地点、采用的生产工艺或者防治污染、防止生态破坏的措施发生重大变动的，应当依法重新报批项目环评。《报告书》自批准之日起满5年，项目方开工建设的，其环评文件应当依法报我局重新审核。</w:t>
      </w:r>
    </w:p>
    <w:p w14:paraId="73ECC4A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五、项目建设应严格执行环境保护“三同时”制度。试生产前应按规定程序重新申领排污许可证，建成后应按规定程序自主开展竣工环境保护验收。项目配套的各项环境保护设施未建成或未经竣工验收合格，项目不得投入生产。</w:t>
      </w:r>
    </w:p>
    <w:p w14:paraId="7C29B524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六、我局委托福州市生态环境保护综合执法支队开展该项目环保“三同时”监督检查，由福州市长乐生态环境局负责该项目日常环保监督管理工作</w:t>
      </w:r>
      <w:r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17D36FBA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095FC55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74DFD7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CA4FDD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A2E9296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1170" w:rightChars="557"/>
        <w:jc w:val="right"/>
        <w:rPr>
          <w:rFonts w:hint="eastAsia" w:ascii="仿宋_GB2312" w:eastAsia="仿宋_GB2312" w:cs="仿宋_GB2312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福州市生态环境局</w:t>
      </w:r>
    </w:p>
    <w:p w14:paraId="507B0EAE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1170" w:rightChars="557"/>
        <w:jc w:val="right"/>
        <w:rPr>
          <w:rFonts w:hint="eastAsia" w:ascii="仿宋_GB2312" w:eastAsia="仿宋_GB2312" w:cs="仿宋_GB2312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 w:cs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eastAsia="仿宋_GB2312" w:cs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 w:cs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 w:cs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 w:cs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 w:cs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日</w:t>
      </w:r>
    </w:p>
    <w:p w14:paraId="5E6BD3BE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eastAsia="仿宋_GB2312" w:cs="仿宋_GB2312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885"/>
        <w:gridCol w:w="3675"/>
      </w:tblGrid>
      <w:tr w14:paraId="0045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F85BE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88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179" w:firstLineChars="64"/>
              <w:jc w:val="both"/>
              <w:rPr>
                <w:rFonts w:hint="eastAsia" w:asci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抄送：</w:t>
            </w:r>
          </w:p>
        </w:tc>
        <w:tc>
          <w:tcPr>
            <w:tcW w:w="7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010F4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88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kern w:val="2"/>
                <w:sz w:val="28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局大气处，福州市生态环境保护综合执法支队，福州市长乐生态环境局，福州市环境影响评价技术中心，福建省冶金工业设计研究院有限公司。</w:t>
            </w:r>
          </w:p>
        </w:tc>
      </w:tr>
      <w:tr w14:paraId="1D0E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57395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88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179" w:firstLineChars="64"/>
              <w:jc w:val="both"/>
              <w:rPr>
                <w:rFonts w:eastAsia="仿宋_GB2312"/>
                <w:color w:val="000000" w:themeColor="text1"/>
                <w:sz w:val="28"/>
                <w:szCs w:val="2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福州市生态环境局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FBB0A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882"/>
                <w:tab w:val="left" w:pos="3987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311" w:rightChars="148"/>
              <w:jc w:val="right"/>
              <w:rPr>
                <w:rFonts w:eastAsia="仿宋_GB2312"/>
                <w:color w:val="000000" w:themeColor="text1"/>
                <w:sz w:val="28"/>
                <w:szCs w:val="2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2025年6月10日印发</w:t>
            </w:r>
          </w:p>
        </w:tc>
      </w:tr>
      <w:tr w14:paraId="6C6A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88C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386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A0C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B70F57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6B4D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C88689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C88689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0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mU4YmM1MTQ3ZDUyOWQxMDA5OGU4MmQ5YTNiMDAifQ=="/>
  </w:docVars>
  <w:rsids>
    <w:rsidRoot w:val="2A7F762B"/>
    <w:rsid w:val="01DD6FC1"/>
    <w:rsid w:val="020B07BA"/>
    <w:rsid w:val="020F2915"/>
    <w:rsid w:val="04380784"/>
    <w:rsid w:val="04B65804"/>
    <w:rsid w:val="076B63F8"/>
    <w:rsid w:val="07B76A03"/>
    <w:rsid w:val="08877123"/>
    <w:rsid w:val="097912D2"/>
    <w:rsid w:val="0A0259D4"/>
    <w:rsid w:val="0A537496"/>
    <w:rsid w:val="0A7B2C42"/>
    <w:rsid w:val="0B4B60CB"/>
    <w:rsid w:val="0FAF2DD2"/>
    <w:rsid w:val="110E49D8"/>
    <w:rsid w:val="123E696C"/>
    <w:rsid w:val="12D0457D"/>
    <w:rsid w:val="1339568F"/>
    <w:rsid w:val="1423416E"/>
    <w:rsid w:val="14AA2D91"/>
    <w:rsid w:val="15B63938"/>
    <w:rsid w:val="16C049E6"/>
    <w:rsid w:val="17376763"/>
    <w:rsid w:val="17C02571"/>
    <w:rsid w:val="185C0C0F"/>
    <w:rsid w:val="19730F8D"/>
    <w:rsid w:val="1A07082D"/>
    <w:rsid w:val="1A2D6D57"/>
    <w:rsid w:val="20835F2C"/>
    <w:rsid w:val="20B312F7"/>
    <w:rsid w:val="213F3844"/>
    <w:rsid w:val="219278A5"/>
    <w:rsid w:val="22B4477F"/>
    <w:rsid w:val="23D1267C"/>
    <w:rsid w:val="24F85637"/>
    <w:rsid w:val="25741448"/>
    <w:rsid w:val="260C28BF"/>
    <w:rsid w:val="264F7B2D"/>
    <w:rsid w:val="26F17F87"/>
    <w:rsid w:val="26FA4A88"/>
    <w:rsid w:val="28A86FC8"/>
    <w:rsid w:val="2A7F762B"/>
    <w:rsid w:val="2C0E2139"/>
    <w:rsid w:val="2C5C637D"/>
    <w:rsid w:val="2CAD0908"/>
    <w:rsid w:val="2E214D74"/>
    <w:rsid w:val="2F652F3C"/>
    <w:rsid w:val="31DF7D29"/>
    <w:rsid w:val="32432891"/>
    <w:rsid w:val="34091389"/>
    <w:rsid w:val="344B15E7"/>
    <w:rsid w:val="34565CE1"/>
    <w:rsid w:val="34B92A27"/>
    <w:rsid w:val="396A64FB"/>
    <w:rsid w:val="3C461732"/>
    <w:rsid w:val="3DB945F5"/>
    <w:rsid w:val="3F4F30DA"/>
    <w:rsid w:val="402C102B"/>
    <w:rsid w:val="40AE1583"/>
    <w:rsid w:val="438B4B5B"/>
    <w:rsid w:val="43CA10AF"/>
    <w:rsid w:val="43F17299"/>
    <w:rsid w:val="45314B84"/>
    <w:rsid w:val="47C411B6"/>
    <w:rsid w:val="49641AB4"/>
    <w:rsid w:val="4A69668E"/>
    <w:rsid w:val="4A810DC1"/>
    <w:rsid w:val="4B456184"/>
    <w:rsid w:val="4B997BD4"/>
    <w:rsid w:val="4CD339FE"/>
    <w:rsid w:val="4CEA3DB7"/>
    <w:rsid w:val="4DB67CDD"/>
    <w:rsid w:val="4E576091"/>
    <w:rsid w:val="512B1630"/>
    <w:rsid w:val="517953CC"/>
    <w:rsid w:val="5328504E"/>
    <w:rsid w:val="53E83CD0"/>
    <w:rsid w:val="56076655"/>
    <w:rsid w:val="56DD30D8"/>
    <w:rsid w:val="5773682D"/>
    <w:rsid w:val="59243FFF"/>
    <w:rsid w:val="59790483"/>
    <w:rsid w:val="5AB30E80"/>
    <w:rsid w:val="5C094C75"/>
    <w:rsid w:val="5C341318"/>
    <w:rsid w:val="5CA73547"/>
    <w:rsid w:val="5CB856B4"/>
    <w:rsid w:val="5D8466D6"/>
    <w:rsid w:val="5E9313F5"/>
    <w:rsid w:val="602D2F54"/>
    <w:rsid w:val="61464082"/>
    <w:rsid w:val="61AC3705"/>
    <w:rsid w:val="61BD2347"/>
    <w:rsid w:val="62377802"/>
    <w:rsid w:val="626F2755"/>
    <w:rsid w:val="63F20EB1"/>
    <w:rsid w:val="66CC026E"/>
    <w:rsid w:val="674F436D"/>
    <w:rsid w:val="69AA484A"/>
    <w:rsid w:val="69E06FB0"/>
    <w:rsid w:val="6C2A2F12"/>
    <w:rsid w:val="6CA5599E"/>
    <w:rsid w:val="6D0A06B5"/>
    <w:rsid w:val="6D8945FB"/>
    <w:rsid w:val="6E6E2E44"/>
    <w:rsid w:val="6F460731"/>
    <w:rsid w:val="7020369C"/>
    <w:rsid w:val="710F3269"/>
    <w:rsid w:val="731146F1"/>
    <w:rsid w:val="749C56FE"/>
    <w:rsid w:val="75F77103"/>
    <w:rsid w:val="76CA152F"/>
    <w:rsid w:val="7752464D"/>
    <w:rsid w:val="783B4C00"/>
    <w:rsid w:val="78981849"/>
    <w:rsid w:val="7B655117"/>
    <w:rsid w:val="7B93788B"/>
    <w:rsid w:val="7C8A2235"/>
    <w:rsid w:val="7CC80452"/>
    <w:rsid w:val="7CDA4005"/>
    <w:rsid w:val="7F1667D4"/>
    <w:rsid w:val="7FA07A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left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semiHidden/>
    <w:qFormat/>
    <w:uiPriority w:val="0"/>
    <w:pPr>
      <w:adjustRightInd w:val="0"/>
      <w:snapToGrid w:val="0"/>
      <w:spacing w:line="312" w:lineRule="auto"/>
      <w:jc w:val="left"/>
    </w:pPr>
    <w:rPr>
      <w:rFonts w:eastAsia="楷体_GB2312"/>
      <w:color w:val="000000"/>
      <w:kern w:val="0"/>
      <w:sz w:val="28"/>
      <w:szCs w:val="20"/>
    </w:rPr>
  </w:style>
  <w:style w:type="paragraph" w:styleId="6">
    <w:name w:val="Body Text Indent"/>
    <w:basedOn w:val="1"/>
    <w:next w:val="7"/>
    <w:unhideWhenUsed/>
    <w:qFormat/>
    <w:uiPriority w:val="0"/>
    <w:pPr>
      <w:spacing w:after="120"/>
      <w:ind w:left="420" w:leftChars="200"/>
    </w:pPr>
  </w:style>
  <w:style w:type="paragraph" w:customStyle="1" w:styleId="7">
    <w:name w:val="样式 正文文本缩进 + 宋体 小四 居中 行距: 固定值 23 磅1"/>
    <w:basedOn w:val="1"/>
    <w:qFormat/>
    <w:uiPriority w:val="0"/>
    <w:pPr>
      <w:spacing w:line="460" w:lineRule="exact"/>
      <w:ind w:left="-181" w:leftChars="-86"/>
    </w:pPr>
    <w:rPr>
      <w:rFonts w:ascii="宋体" w:hAnsi="宋体" w:cs="宋体"/>
      <w:color w:val="000000"/>
    </w:rPr>
  </w:style>
  <w:style w:type="paragraph" w:styleId="8">
    <w:name w:val="Dat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kern w:val="2"/>
      <w:sz w:val="32"/>
      <w:szCs w:val="20"/>
      <w:lang w:val="en-US" w:eastAsia="zh-CN" w:bidi="ar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</w:rPr>
  </w:style>
  <w:style w:type="paragraph" w:styleId="13">
    <w:name w:val="Body Text First Indent"/>
    <w:basedOn w:val="5"/>
    <w:next w:val="1"/>
    <w:qFormat/>
    <w:uiPriority w:val="0"/>
    <w:pPr>
      <w:snapToGrid w:val="0"/>
      <w:spacing w:line="360" w:lineRule="auto"/>
      <w:ind w:firstLine="200" w:firstLineChars="200"/>
    </w:pPr>
    <w:rPr>
      <w:rFonts w:ascii="Courier New" w:hAnsi="Courier New" w:eastAsia="Times New Roman"/>
      <w:snapToGrid w:val="0"/>
      <w:color w:val="000000"/>
      <w:kern w:val="2"/>
      <w:szCs w:val="24"/>
    </w:rPr>
  </w:style>
  <w:style w:type="paragraph" w:styleId="14">
    <w:name w:val="Body Text First Indent 2"/>
    <w:basedOn w:val="6"/>
    <w:next w:val="1"/>
    <w:qFormat/>
    <w:uiPriority w:val="0"/>
    <w:pPr>
      <w:spacing w:after="0" w:line="420" w:lineRule="exact"/>
      <w:ind w:left="0" w:leftChars="0" w:firstLine="420"/>
    </w:pPr>
    <w:rPr>
      <w:rFonts w:ascii="仿宋_GB2312" w:eastAsia="Times New Roman"/>
      <w:sz w:val="24"/>
    </w:rPr>
  </w:style>
  <w:style w:type="character" w:styleId="17">
    <w:name w:val="FollowedHyperlink"/>
    <w:basedOn w:val="16"/>
    <w:qFormat/>
    <w:uiPriority w:val="0"/>
    <w:rPr>
      <w:color w:val="000000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00"/>
      <w:u w:val="none"/>
    </w:rPr>
  </w:style>
  <w:style w:type="character" w:styleId="20">
    <w:name w:val="annotation reference"/>
    <w:basedOn w:val="16"/>
    <w:qFormat/>
    <w:uiPriority w:val="0"/>
    <w:rPr>
      <w:sz w:val="21"/>
      <w:szCs w:val="21"/>
    </w:rPr>
  </w:style>
  <w:style w:type="character" w:customStyle="1" w:styleId="21">
    <w:name w:val="5文章(治) Char"/>
    <w:basedOn w:val="16"/>
    <w:qFormat/>
    <w:uiPriority w:val="0"/>
    <w:rPr>
      <w:rFonts w:hint="eastAsia" w:ascii="楷体_GB2312" w:eastAsia="楷体_GB2312" w:cs="楷体_GB2312"/>
      <w:kern w:val="2"/>
      <w:sz w:val="28"/>
      <w:lang w:val="en-US" w:eastAsia="zh-CN" w:bidi="ar"/>
    </w:rPr>
  </w:style>
  <w:style w:type="character" w:customStyle="1" w:styleId="22">
    <w:name w:val="lable"/>
    <w:basedOn w:val="16"/>
    <w:qFormat/>
    <w:uiPriority w:val="0"/>
    <w:rPr>
      <w:sz w:val="24"/>
      <w:szCs w:val="24"/>
    </w:rPr>
  </w:style>
  <w:style w:type="character" w:customStyle="1" w:styleId="23">
    <w:name w:val="lishishuju"/>
    <w:basedOn w:val="16"/>
    <w:qFormat/>
    <w:uiPriority w:val="0"/>
    <w:rPr>
      <w:b/>
      <w:color w:val="000052"/>
      <w:sz w:val="24"/>
      <w:szCs w:val="24"/>
      <w:bdr w:val="single" w:color="E3E3E3" w:sz="6" w:space="0"/>
    </w:rPr>
  </w:style>
  <w:style w:type="character" w:customStyle="1" w:styleId="24">
    <w:name w:val="radio-btn"/>
    <w:basedOn w:val="16"/>
    <w:qFormat/>
    <w:uiPriority w:val="0"/>
    <w:rPr>
      <w:sz w:val="21"/>
      <w:szCs w:val="21"/>
    </w:rPr>
  </w:style>
  <w:style w:type="character" w:customStyle="1" w:styleId="25">
    <w:name w:val="radio-btn1"/>
    <w:basedOn w:val="16"/>
    <w:qFormat/>
    <w:uiPriority w:val="0"/>
    <w:rPr>
      <w:sz w:val="24"/>
      <w:szCs w:val="24"/>
    </w:rPr>
  </w:style>
  <w:style w:type="character" w:customStyle="1" w:styleId="26">
    <w:name w:val="radio-btn2"/>
    <w:basedOn w:val="16"/>
    <w:qFormat/>
    <w:uiPriority w:val="0"/>
    <w:rPr>
      <w:sz w:val="24"/>
      <w:szCs w:val="24"/>
    </w:rPr>
  </w:style>
  <w:style w:type="character" w:customStyle="1" w:styleId="27">
    <w:name w:val="cur1"/>
    <w:basedOn w:val="16"/>
    <w:qFormat/>
    <w:uiPriority w:val="0"/>
    <w:rPr>
      <w:color w:val="FFFFFF"/>
      <w:shd w:val="clear" w:fill="2F6B98"/>
    </w:rPr>
  </w:style>
  <w:style w:type="character" w:customStyle="1" w:styleId="28">
    <w:name w:val="znspantitle"/>
    <w:basedOn w:val="16"/>
    <w:qFormat/>
    <w:uiPriority w:val="0"/>
    <w:rPr>
      <w:b/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2408</Words>
  <Characters>2627</Characters>
  <Lines>0</Lines>
  <Paragraphs>0</Paragraphs>
  <TotalTime>70</TotalTime>
  <ScaleCrop>false</ScaleCrop>
  <LinksUpToDate>false</LinksUpToDate>
  <CharactersWithSpaces>2627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2016-03-09T02:21:00Z</dcterms:created>
  <dc:creator>Yuri</dc:creator>
  <cp:lastModifiedBy>ccw</cp:lastModifiedBy>
  <cp:lastPrinted>2025-06-16T06:47:47Z</cp:lastPrinted>
  <dcterms:modified xsi:type="dcterms:W3CDTF">2025-06-16T07:02:25Z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07A162A2473042D587B95B9EDB6B78DC_12</vt:lpwstr>
  </property>
  <property fmtid="{D5CDD505-2E9C-101B-9397-08002B2CF9AE}" pid="4" name="KSOTemplateDocerSaveRecord">
    <vt:lpwstr>eyJoZGlkIjoiMDkxNDM5NTI3YTI2MzU0NTA3MzliODM2N2FlYTc2NjYiLCJ1c2VySWQiOiIzMzQ3ODA2NTEifQ==</vt:lpwstr>
  </property>
</Properties>
</file>