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75" w:line="227" w:lineRule="auto"/>
        <w:outlineLvl w:val="1"/>
        <w:rPr>
          <w:rFonts w:hint="eastAsia" w:ascii="仿宋_GB2312" w:hAnsi="仿宋_GB2312" w:eastAsia="仿宋_GB2312" w:cs="仿宋_GB2312"/>
          <w:spacing w:val="2"/>
          <w:sz w:val="32"/>
          <w:szCs w:val="32"/>
          <w:lang w:val="en-US"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spacing w:val="2"/>
          <w:sz w:val="32"/>
          <w:szCs w:val="32"/>
          <w:lang w:val="en-US" w:eastAsia="zh-CN"/>
        </w:rPr>
        <w:t>附件2</w:t>
      </w:r>
    </w:p>
    <w:bookmarkEnd w:id="0"/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snapToGrid/>
          <w:kern w:val="2"/>
          <w:sz w:val="44"/>
          <w:szCs w:val="44"/>
          <w:u w:val="none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napToGrid/>
          <w:kern w:val="2"/>
          <w:sz w:val="44"/>
          <w:szCs w:val="44"/>
          <w:u w:val="none"/>
          <w:lang w:val="en-US" w:eastAsia="zh-CN" w:bidi="ar-SA"/>
        </w:rPr>
        <w:t>项目报价材料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rPr>
          <w:rFonts w:hint="eastAsia" w:ascii="方正小标宋_GBK" w:hAnsi="方正小标宋_GBK" w:eastAsia="方正小标宋_GBK" w:cs="方正小标宋_GBK"/>
          <w:b w:val="0"/>
          <w:bCs w:val="0"/>
          <w:snapToGrid/>
          <w:kern w:val="2"/>
          <w:sz w:val="44"/>
          <w:szCs w:val="44"/>
          <w:u w:val="none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rPr>
          <w:rFonts w:hint="eastAsia" w:ascii="方正小标宋_GBK" w:hAnsi="方正小标宋_GBK" w:eastAsia="方正小标宋_GBK" w:cs="方正小标宋_GBK"/>
          <w:b w:val="0"/>
          <w:bCs w:val="0"/>
          <w:snapToGrid/>
          <w:kern w:val="2"/>
          <w:sz w:val="44"/>
          <w:szCs w:val="44"/>
          <w:u w:val="none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snapToGrid/>
          <w:kern w:val="2"/>
          <w:sz w:val="32"/>
          <w:szCs w:val="32"/>
          <w:u w:val="none"/>
          <w:lang w:val="en-US" w:eastAsia="zh-CN" w:bidi="ar-SA"/>
        </w:rPr>
        <w:t>一、项目报价单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1760" w:firstLineChars="400"/>
        <w:jc w:val="center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                     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32"/>
          <w:szCs w:val="32"/>
          <w:lang w:val="en-US" w:eastAsia="zh-CN" w:bidi="ar-SA"/>
        </w:rPr>
        <w:t xml:space="preserve">               单位：元</w:t>
      </w:r>
    </w:p>
    <w:p>
      <w:pPr>
        <w:spacing w:line="38" w:lineRule="auto"/>
        <w:rPr>
          <w:rFonts w:ascii="Arial"/>
          <w:sz w:val="2"/>
        </w:rPr>
      </w:pPr>
    </w:p>
    <w:tbl>
      <w:tblPr>
        <w:tblStyle w:val="8"/>
        <w:tblW w:w="975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55"/>
        <w:gridCol w:w="2768"/>
        <w:gridCol w:w="3329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3655" w:type="dxa"/>
            <w:tcBorders>
              <w:bottom w:val="single" w:color="000000" w:sz="2" w:space="0"/>
            </w:tcBorders>
            <w:vAlign w:val="center"/>
          </w:tcPr>
          <w:p>
            <w:pPr>
              <w:spacing w:before="101" w:line="221" w:lineRule="auto"/>
              <w:ind w:left="1567"/>
              <w:jc w:val="both"/>
              <w:rPr>
                <w:rFonts w:ascii="FangSong_GB2312" w:hAnsi="FangSong_GB2312" w:eastAsia="FangSong_GB2312" w:cs="FangSong_GB2312"/>
                <w:sz w:val="31"/>
                <w:szCs w:val="31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z w:val="31"/>
                <w:szCs w:val="31"/>
              </w:rPr>
              <w:t>名称</w:t>
            </w:r>
          </w:p>
        </w:tc>
        <w:tc>
          <w:tcPr>
            <w:tcW w:w="2768" w:type="dxa"/>
            <w:tcBorders>
              <w:bottom w:val="single" w:color="000000" w:sz="2" w:space="0"/>
            </w:tcBorders>
            <w:vAlign w:val="center"/>
          </w:tcPr>
          <w:p>
            <w:pPr>
              <w:spacing w:before="101" w:line="219" w:lineRule="auto"/>
              <w:jc w:val="center"/>
              <w:rPr>
                <w:rFonts w:hint="eastAsia" w:ascii="FangSong_GB2312" w:hAnsi="FangSong_GB2312" w:eastAsia="FangSong_GB2312" w:cs="FangSong_GB2312"/>
                <w:sz w:val="31"/>
                <w:szCs w:val="31"/>
                <w:lang w:eastAsia="zh-CN"/>
              </w:rPr>
            </w:pPr>
            <w:r>
              <w:rPr>
                <w:rFonts w:hint="eastAsia" w:ascii="FangSong_GB2312" w:hAnsi="FangSong_GB2312" w:eastAsia="FangSong_GB2312" w:cs="FangSong_GB2312"/>
                <w:b/>
                <w:bCs/>
                <w:spacing w:val="-1"/>
                <w:sz w:val="31"/>
                <w:szCs w:val="31"/>
                <w:lang w:val="en-US" w:eastAsia="zh-CN"/>
              </w:rPr>
              <w:t>单价</w:t>
            </w:r>
          </w:p>
        </w:tc>
        <w:tc>
          <w:tcPr>
            <w:tcW w:w="3329" w:type="dxa"/>
            <w:tcBorders>
              <w:bottom w:val="single" w:color="000000" w:sz="2" w:space="0"/>
            </w:tcBorders>
            <w:vAlign w:val="center"/>
          </w:tcPr>
          <w:p>
            <w:pPr>
              <w:spacing w:before="108" w:line="221" w:lineRule="auto"/>
              <w:ind w:left="514" w:firstLine="634" w:firstLineChars="200"/>
              <w:jc w:val="both"/>
              <w:rPr>
                <w:rFonts w:hint="eastAsia" w:ascii="FangSong_GB2312" w:hAnsi="FangSong_GB2312" w:eastAsia="FangSong_GB2312" w:cs="FangSong_GB2312"/>
                <w:sz w:val="31"/>
                <w:szCs w:val="31"/>
                <w:lang w:eastAsia="zh-CN"/>
              </w:rPr>
            </w:pPr>
            <w:r>
              <w:rPr>
                <w:rFonts w:hint="eastAsia" w:ascii="FangSong_GB2312" w:hAnsi="FangSong_GB2312" w:eastAsia="FangSong_GB2312" w:cs="FangSong_GB2312"/>
                <w:b/>
                <w:bCs/>
                <w:spacing w:val="3"/>
                <w:sz w:val="31"/>
                <w:szCs w:val="31"/>
                <w:lang w:val="en-US" w:eastAsia="zh-CN"/>
              </w:rPr>
              <w:t>合计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</w:trPr>
        <w:tc>
          <w:tcPr>
            <w:tcW w:w="3655" w:type="dxa"/>
            <w:tcBorders>
              <w:top w:val="single" w:color="000000" w:sz="2" w:space="0"/>
            </w:tcBorders>
            <w:vAlign w:val="top"/>
          </w:tcPr>
          <w:p>
            <w:pPr>
              <w:spacing w:before="153" w:line="219" w:lineRule="auto"/>
              <w:jc w:val="center"/>
              <w:rPr>
                <w:rFonts w:hint="eastAsia" w:ascii="FangSong_GB2312" w:hAnsi="FangSong_GB2312" w:eastAsia="FangSong_GB2312" w:cs="FangSong_GB2312"/>
                <w:spacing w:val="2"/>
                <w:sz w:val="31"/>
                <w:szCs w:val="31"/>
                <w:lang w:val="en-US" w:eastAsia="zh-CN"/>
              </w:rPr>
            </w:pPr>
            <w:r>
              <w:rPr>
                <w:rFonts w:hint="eastAsia" w:ascii="FangSong_GB2312" w:hAnsi="FangSong_GB2312" w:eastAsia="FangSong_GB2312" w:cs="FangSong_GB2312"/>
                <w:spacing w:val="2"/>
                <w:sz w:val="31"/>
                <w:szCs w:val="31"/>
                <w:lang w:val="en-US" w:eastAsia="zh-CN"/>
              </w:rPr>
              <w:t>机考计算机使用费</w:t>
            </w:r>
          </w:p>
          <w:p>
            <w:pPr>
              <w:spacing w:before="153" w:line="219" w:lineRule="auto"/>
              <w:jc w:val="center"/>
              <w:rPr>
                <w:rFonts w:hint="default" w:ascii="FangSong_GB2312" w:hAnsi="FangSong_GB2312" w:eastAsia="FangSong_GB2312" w:cs="FangSong_GB2312"/>
                <w:sz w:val="31"/>
                <w:szCs w:val="31"/>
                <w:lang w:val="en-US" w:eastAsia="zh-CN"/>
              </w:rPr>
            </w:pPr>
            <w:r>
              <w:rPr>
                <w:rFonts w:hint="eastAsia" w:ascii="FangSong_GB2312" w:hAnsi="FangSong_GB2312" w:eastAsia="FangSong_GB2312" w:cs="FangSong_GB2312"/>
                <w:spacing w:val="2"/>
                <w:sz w:val="31"/>
                <w:szCs w:val="31"/>
                <w:lang w:val="en-US" w:eastAsia="zh-CN"/>
              </w:rPr>
              <w:t>（16500科）</w:t>
            </w:r>
          </w:p>
        </w:tc>
        <w:tc>
          <w:tcPr>
            <w:tcW w:w="2768" w:type="dxa"/>
            <w:tcBorders>
              <w:top w:val="single" w:color="000000" w:sz="2" w:space="0"/>
            </w:tcBorders>
            <w:vAlign w:val="center"/>
          </w:tcPr>
          <w:p>
            <w:pPr>
              <w:spacing w:before="101" w:line="222" w:lineRule="auto"/>
              <w:ind w:firstLine="960" w:firstLineChars="300"/>
              <w:jc w:val="righ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Style w:val="10"/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kern w:val="2"/>
                <w:sz w:val="32"/>
                <w:szCs w:val="32"/>
                <w:lang w:val="en-US" w:eastAsia="zh-CN" w:bidi="ar-SA"/>
              </w:rPr>
              <w:t xml:space="preserve"> 元/科</w:t>
            </w:r>
          </w:p>
        </w:tc>
        <w:tc>
          <w:tcPr>
            <w:tcW w:w="3329" w:type="dxa"/>
            <w:tcBorders>
              <w:top w:val="single" w:color="000000" w:sz="2" w:space="0"/>
            </w:tcBorders>
            <w:vAlign w:val="center"/>
          </w:tcPr>
          <w:p>
            <w:pPr>
              <w:pStyle w:val="9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3655" w:type="dxa"/>
            <w:vAlign w:val="top"/>
          </w:tcPr>
          <w:p>
            <w:pPr>
              <w:spacing w:before="153" w:line="219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纸笔考试场地使用费</w:t>
            </w:r>
          </w:p>
          <w:p>
            <w:pPr>
              <w:pStyle w:val="2"/>
              <w:jc w:val="center"/>
              <w:rPr>
                <w:rFonts w:hint="default"/>
                <w:lang w:val="en-US"/>
              </w:rPr>
            </w:pPr>
            <w:r>
              <w:rPr>
                <w:rStyle w:val="10"/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kern w:val="2"/>
                <w:sz w:val="32"/>
                <w:szCs w:val="32"/>
                <w:lang w:val="en-US" w:eastAsia="zh-CN" w:bidi="ar-SA"/>
              </w:rPr>
              <w:t>（40间×2天）</w:t>
            </w:r>
          </w:p>
        </w:tc>
        <w:tc>
          <w:tcPr>
            <w:tcW w:w="2768" w:type="dxa"/>
            <w:vAlign w:val="center"/>
          </w:tcPr>
          <w:p>
            <w:pPr>
              <w:spacing w:before="101" w:line="222" w:lineRule="auto"/>
              <w:jc w:val="right"/>
              <w:rPr>
                <w:rFonts w:hint="eastAsia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Style w:val="10"/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kern w:val="2"/>
                <w:sz w:val="32"/>
                <w:szCs w:val="32"/>
                <w:lang w:val="en-US" w:eastAsia="zh-CN" w:bidi="ar-SA"/>
              </w:rPr>
              <w:t xml:space="preserve"> 元/间天</w:t>
            </w:r>
          </w:p>
        </w:tc>
        <w:tc>
          <w:tcPr>
            <w:tcW w:w="3329" w:type="dxa"/>
            <w:vAlign w:val="center"/>
          </w:tcPr>
          <w:p>
            <w:pPr>
              <w:pStyle w:val="9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 w:hRule="atLeast"/>
        </w:trPr>
        <w:tc>
          <w:tcPr>
            <w:tcW w:w="3655" w:type="dxa"/>
            <w:vAlign w:val="top"/>
          </w:tcPr>
          <w:p>
            <w:pPr>
              <w:spacing w:before="153" w:line="219" w:lineRule="auto"/>
              <w:jc w:val="center"/>
              <w:rPr>
                <w:rStyle w:val="10"/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Style w:val="10"/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kern w:val="2"/>
                <w:sz w:val="32"/>
                <w:szCs w:val="32"/>
                <w:lang w:val="en-US" w:eastAsia="zh-CN" w:bidi="ar-SA"/>
              </w:rPr>
              <w:t>主考室及监控室使用费</w:t>
            </w:r>
          </w:p>
          <w:p>
            <w:pPr>
              <w:spacing w:before="153" w:line="219" w:lineRule="auto"/>
              <w:jc w:val="center"/>
              <w:rPr>
                <w:rStyle w:val="10"/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Style w:val="10"/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kern w:val="2"/>
                <w:sz w:val="32"/>
                <w:szCs w:val="32"/>
                <w:lang w:val="en-US" w:eastAsia="zh-CN" w:bidi="ar-SA"/>
              </w:rPr>
              <w:t>（6天）</w:t>
            </w:r>
          </w:p>
        </w:tc>
        <w:tc>
          <w:tcPr>
            <w:tcW w:w="2768" w:type="dxa"/>
            <w:vAlign w:val="center"/>
          </w:tcPr>
          <w:p>
            <w:pPr>
              <w:spacing w:before="101" w:line="222" w:lineRule="auto"/>
              <w:jc w:val="right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 元/天</w:t>
            </w:r>
          </w:p>
        </w:tc>
        <w:tc>
          <w:tcPr>
            <w:tcW w:w="3329" w:type="dxa"/>
            <w:vAlign w:val="center"/>
          </w:tcPr>
          <w:p>
            <w:pPr>
              <w:pStyle w:val="9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3655" w:type="dxa"/>
            <w:vAlign w:val="center"/>
          </w:tcPr>
          <w:p>
            <w:pPr>
              <w:spacing w:before="153" w:line="219" w:lineRule="auto"/>
              <w:jc w:val="center"/>
              <w:rPr>
                <w:rStyle w:val="10"/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Style w:val="10"/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kern w:val="2"/>
                <w:sz w:val="32"/>
                <w:szCs w:val="32"/>
                <w:lang w:val="en-US" w:eastAsia="zh-CN" w:bidi="ar-SA"/>
              </w:rPr>
              <w:t>总计</w:t>
            </w:r>
          </w:p>
        </w:tc>
        <w:tc>
          <w:tcPr>
            <w:tcW w:w="2768" w:type="dxa"/>
            <w:vAlign w:val="center"/>
          </w:tcPr>
          <w:p>
            <w:pPr>
              <w:spacing w:before="101" w:line="222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----</w:t>
            </w:r>
          </w:p>
        </w:tc>
        <w:tc>
          <w:tcPr>
            <w:tcW w:w="3329" w:type="dxa"/>
            <w:vAlign w:val="center"/>
          </w:tcPr>
          <w:p>
            <w:pPr>
              <w:pStyle w:val="9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2" w:hRule="atLeast"/>
        </w:trPr>
        <w:tc>
          <w:tcPr>
            <w:tcW w:w="9752" w:type="dxa"/>
            <w:gridSpan w:val="3"/>
            <w:vAlign w:val="top"/>
          </w:tcPr>
          <w:p>
            <w:pPr>
              <w:spacing w:before="145" w:line="220" w:lineRule="auto"/>
              <w:ind w:left="130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报价包含内容（包含打√ , 不包含打× )</w:t>
            </w:r>
          </w:p>
          <w:p>
            <w:pPr>
              <w:spacing w:before="154" w:line="227" w:lineRule="auto"/>
              <w:ind w:left="128" w:right="104" w:firstLine="6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□1.机位费、场地、设施设备、水、电</w:t>
            </w:r>
            <w:r>
              <w:rPr>
                <w:rFonts w:hint="eastAsia" w:ascii="仿宋_GB2312" w:hAnsi="仿宋_GB2312" w:eastAsia="仿宋_GB2312" w:cs="仿宋_GB2312"/>
                <w:spacing w:val="3"/>
                <w:sz w:val="30"/>
                <w:szCs w:val="30"/>
              </w:rPr>
              <w:t>。</w:t>
            </w:r>
          </w:p>
          <w:p>
            <w:pPr>
              <w:spacing w:before="154" w:line="198" w:lineRule="auto"/>
              <w:ind w:left="135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pacing w:val="7"/>
                <w:sz w:val="30"/>
                <w:szCs w:val="30"/>
              </w:rPr>
              <w:t>□</w:t>
            </w:r>
            <w:r>
              <w:rPr>
                <w:rFonts w:hint="eastAsia" w:ascii="仿宋_GB2312" w:hAnsi="仿宋_GB2312" w:eastAsia="仿宋_GB2312" w:cs="仿宋_GB2312"/>
                <w:spacing w:val="7"/>
                <w:sz w:val="30"/>
                <w:szCs w:val="30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pacing w:val="7"/>
                <w:sz w:val="30"/>
                <w:szCs w:val="30"/>
              </w:rPr>
              <w:t>.校方考务、技术保障、监考、安保等工作人员劳务费。</w:t>
            </w:r>
          </w:p>
          <w:p>
            <w:pPr>
              <w:spacing w:before="81" w:line="228" w:lineRule="auto"/>
              <w:ind w:left="130" w:right="9" w:firstLine="4"/>
              <w:rPr>
                <w:rFonts w:hint="eastAsia" w:ascii="仿宋_GB2312" w:hAnsi="仿宋_GB2312" w:eastAsia="仿宋_GB2312" w:cs="仿宋_GB2312"/>
                <w:spacing w:val="4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pacing w:val="7"/>
                <w:sz w:val="30"/>
                <w:szCs w:val="30"/>
              </w:rPr>
              <w:t>□</w:t>
            </w:r>
            <w:r>
              <w:rPr>
                <w:rFonts w:hint="eastAsia" w:ascii="仿宋_GB2312" w:hAnsi="仿宋_GB2312" w:eastAsia="仿宋_GB2312" w:cs="仿宋_GB2312"/>
                <w:spacing w:val="7"/>
                <w:sz w:val="30"/>
                <w:szCs w:val="30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pacing w:val="-2"/>
                <w:sz w:val="30"/>
                <w:szCs w:val="30"/>
              </w:rPr>
              <w:t>.盲人考生设置单独考室费用（含配</w:t>
            </w:r>
            <w:r>
              <w:rPr>
                <w:rFonts w:hint="eastAsia" w:ascii="仿宋_GB2312" w:hAnsi="仿宋_GB2312" w:eastAsia="仿宋_GB2312" w:cs="仿宋_GB2312"/>
                <w:spacing w:val="-3"/>
                <w:sz w:val="30"/>
                <w:szCs w:val="30"/>
              </w:rPr>
              <w:t>备读题志愿者、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1"/>
                <w:sz w:val="30"/>
                <w:szCs w:val="30"/>
              </w:rPr>
              <w:t>监考老师等）</w:t>
            </w:r>
            <w:r>
              <w:rPr>
                <w:rFonts w:hint="eastAsia" w:ascii="仿宋_GB2312" w:hAnsi="仿宋_GB2312" w:eastAsia="仿宋_GB2312" w:cs="仿宋_GB2312"/>
                <w:spacing w:val="1"/>
                <w:sz w:val="30"/>
                <w:szCs w:val="30"/>
                <w:lang w:eastAsia="zh-CN"/>
              </w:rPr>
              <w:t>。</w:t>
            </w:r>
          </w:p>
          <w:p>
            <w:pPr>
              <w:pStyle w:val="2"/>
              <w:jc w:val="center"/>
              <w:rPr>
                <w:rFonts w:ascii="FangSong_GB2312" w:hAnsi="FangSong_GB2312" w:eastAsia="FangSong_GB2312" w:cs="FangSong_GB2312"/>
                <w:spacing w:val="4"/>
                <w:sz w:val="31"/>
                <w:szCs w:val="31"/>
              </w:rPr>
            </w:pPr>
            <w:r>
              <w:rPr>
                <w:rFonts w:hint="eastAsia" w:ascii="FangSong_GB2312" w:hAnsi="FangSong_GB2312" w:eastAsia="FangSong_GB2312" w:cs="FangSong_GB2312"/>
                <w:spacing w:val="4"/>
                <w:sz w:val="31"/>
                <w:szCs w:val="31"/>
                <w:lang w:val="en-US" w:eastAsia="zh-CN"/>
              </w:rPr>
              <w:t xml:space="preserve"> </w:t>
            </w:r>
          </w:p>
          <w:p>
            <w:pPr>
              <w:pStyle w:val="2"/>
              <w:jc w:val="center"/>
              <w:rPr>
                <w:rFonts w:ascii="FangSong_GB2312" w:hAnsi="FangSong_GB2312" w:eastAsia="FangSong_GB2312" w:cs="FangSong_GB2312"/>
                <w:spacing w:val="4"/>
                <w:sz w:val="31"/>
                <w:szCs w:val="31"/>
              </w:rPr>
            </w:pPr>
          </w:p>
          <w:p>
            <w:pPr>
              <w:pStyle w:val="2"/>
              <w:rPr>
                <w:rFonts w:ascii="FangSong_GB2312" w:hAnsi="FangSong_GB2312" w:eastAsia="FangSong_GB2312" w:cs="FangSong_GB2312"/>
                <w:spacing w:val="4"/>
                <w:sz w:val="31"/>
                <w:szCs w:val="3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3" w:hRule="atLeast"/>
        </w:trPr>
        <w:tc>
          <w:tcPr>
            <w:tcW w:w="9752" w:type="dxa"/>
            <w:gridSpan w:val="3"/>
            <w:vAlign w:val="center"/>
          </w:tcPr>
          <w:p>
            <w:pPr>
              <w:pStyle w:val="2"/>
              <w:jc w:val="center"/>
              <w:rPr>
                <w:rFonts w:ascii="FangSong_GB2312" w:hAnsi="FangSong_GB2312" w:eastAsia="FangSong_GB2312" w:cs="FangSong_GB2312"/>
                <w:spacing w:val="4"/>
                <w:sz w:val="31"/>
                <w:szCs w:val="31"/>
              </w:rPr>
            </w:pPr>
            <w:r>
              <w:rPr>
                <w:rFonts w:ascii="FangSong_GB2312" w:hAnsi="FangSong_GB2312" w:eastAsia="FangSong_GB2312" w:cs="FangSong_GB2312"/>
                <w:spacing w:val="4"/>
                <w:sz w:val="31"/>
                <w:szCs w:val="31"/>
              </w:rPr>
              <w:t>供应商盖章：</w:t>
            </w:r>
          </w:p>
        </w:tc>
      </w:tr>
    </w:tbl>
    <w:p>
      <w:pPr>
        <w:rPr>
          <w:rFonts w:ascii="Arial"/>
          <w:sz w:val="21"/>
        </w:rPr>
      </w:pPr>
    </w:p>
    <w:p>
      <w:pPr>
        <w:pStyle w:val="2"/>
        <w:rPr>
          <w:rFonts w:ascii="Arial"/>
          <w:sz w:val="21"/>
        </w:rPr>
      </w:pPr>
    </w:p>
    <w:p>
      <w:pPr>
        <w:pStyle w:val="5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rPr>
          <w:rFonts w:hint="eastAsia" w:ascii="黑体" w:hAnsi="黑体" w:eastAsia="黑体" w:cs="黑体"/>
          <w:b w:val="0"/>
          <w:bCs w:val="0"/>
          <w:snapToGrid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snapToGrid/>
          <w:kern w:val="2"/>
          <w:sz w:val="32"/>
          <w:szCs w:val="32"/>
          <w:u w:val="none"/>
          <w:lang w:val="en-US" w:eastAsia="zh-CN" w:bidi="ar-SA"/>
        </w:rPr>
        <w:t>考场有关要求响应情况</w:t>
      </w:r>
    </w:p>
    <w:tbl>
      <w:tblPr>
        <w:tblStyle w:val="6"/>
        <w:tblW w:w="970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6465"/>
        <w:gridCol w:w="1080"/>
        <w:gridCol w:w="10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服务名称</w:t>
            </w:r>
          </w:p>
        </w:tc>
        <w:tc>
          <w:tcPr>
            <w:tcW w:w="6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响应情况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偏离说明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信息技术人员</w:t>
            </w:r>
          </w:p>
        </w:tc>
        <w:tc>
          <w:tcPr>
            <w:tcW w:w="6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每考场至少配备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2 名。需按要求参加系统培训，负责本考场考试信息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系统部署、考试环境准备、模拟演练、技术支持、系统运行异常情况处置等机考相关技术工作。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计算机数量</w:t>
            </w:r>
          </w:p>
        </w:tc>
        <w:tc>
          <w:tcPr>
            <w:tcW w:w="6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至少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1300台（单独承接）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考试局域网</w:t>
            </w:r>
          </w:p>
        </w:tc>
        <w:tc>
          <w:tcPr>
            <w:tcW w:w="6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考试局域网的网络交换机应采用市场主流产品且性能稳定可靠，通风散热良好。采用TCP/IP 协议的网络。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所有考试计算机应至少保证与服务器以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100M网速相连，网络稳定、顺畅。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考试期间考试计算机间不得建立共享、不得远程控制。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各网络节点网线走线规范，拓扑清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晰。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考场内有备用网络设备。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服务器可在考前与考后实现互联网连接。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服务器软硬件（服务端）</w:t>
            </w:r>
          </w:p>
        </w:tc>
        <w:tc>
          <w:tcPr>
            <w:tcW w:w="6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每考场需配备两台专用机考服务器。服务器在考试期间为专用考试服务器，禁止考试期间提供其它服务。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服务器配备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UPS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电源，UPS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供电半小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时以上。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推荐服务器配置与考生人数对应情况：同时考试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300人以下：P1/P2/P3级；同时考试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300人至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500 人：P2/P3级；同时考试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500人至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800人：P3级；同时考试800人以上：向医学考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试中心报备，视具体情况决定。（P1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级:CPU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相当于Intel 酷睿I5四核2.7G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及以上，内存8G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，系统磁盘空闲空间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10G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，千兆网卡。P2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级:CPU 相当于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Intel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至强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E3 2.0G-2.4G 及以上，内存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16G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，系统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磁盘空闲空间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20G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，千兆网卡。P3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级:CPU 相当于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Intel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至强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E5 2.4G-2.8G(2颗)及以上，内存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32G，系统磁盘空闲空间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50G，千兆网卡。）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P1、P2、P3级服务器操作系统为Windows Server2008 R2 SP1(及以上)，推荐Windows Server2016及以上。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安装.Net FrameWork4.6.1及以上，IIS7.0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及以上应用服务，关闭防火墙，系统无病毒。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配置性能稳定的光盘刻录光驱，并备用一台移动刻录光驱。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安装医学考试中心配发的机考系统，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2个及以上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USB2.0/3.0 接口，支持机考Key。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考生计算机（考生端）</w:t>
            </w:r>
          </w:p>
        </w:tc>
        <w:tc>
          <w:tcPr>
            <w:tcW w:w="6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考生计算机通过固定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IP 访问到服务器，固定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MAC 地址，禁用虚拟网卡。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2G以上，百兆以上网卡。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硬件性能稳定，无频繁死机自动重启蓝屏等现象。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操作系统为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Win7SP1 及以上版本，系统无病毒。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能安装医学考试中心配发的考生端程序，取消还原保护功能，关闭屏保和电源休眠。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考务计算机（考务管理端）</w:t>
            </w:r>
          </w:p>
        </w:tc>
        <w:tc>
          <w:tcPr>
            <w:tcW w:w="6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考务办公室及每考室内配备一台考务管理/监考专用计算机，可通过固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定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IP 访问到服务器。考务计算机需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连接打印机，安装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Windows 操作系统(Win7Sp1 及以上)、防病毒软件，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配备刻录机。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其他</w:t>
            </w:r>
          </w:p>
        </w:tc>
        <w:tc>
          <w:tcPr>
            <w:tcW w:w="6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服务器虚拟化必须具备以下条件:支持机考Key，服务器满足Windows操作系统等前述软硬件要求。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0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云桌面机房必须具备以下条件:服务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器满足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Windows 操作系统等前述软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硬件要求且必须为独立的服务器(不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得为云桌面管理机);考生计算机和考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务计算机满足前述的软硬件要求、网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络配置满足固定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IP 地址和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MAC 地址等前述要求，考试期间应安排云桌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面厂商提供现场技术保障。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国产化机房必须具备以下条件:服务器满足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Windows 操作系统等前述软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硬件要求，网络配置满足前述要求;考生计算机和考务计算机采用主流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品牌的国产化操作系统、安装Chrome</w:t>
            </w:r>
            <w:r>
              <w:rPr>
                <w:rStyle w:val="11"/>
                <w:rFonts w:eastAsia="仿宋_GB2312"/>
                <w:snapToGrid w:val="0"/>
                <w:color w:val="000000"/>
                <w:lang w:val="en-US" w:eastAsia="zh-CN" w:bidi="ar"/>
              </w:rPr>
              <w:t xml:space="preserve"> </w:t>
            </w:r>
            <w:r>
              <w:rPr>
                <w:rStyle w:val="12"/>
                <w:rFonts w:hAnsi="宋体"/>
                <w:snapToGrid w:val="0"/>
                <w:color w:val="000000"/>
                <w:lang w:val="en-US" w:eastAsia="zh-CN" w:bidi="ar"/>
              </w:rPr>
              <w:t>内核浏览器。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pStyle w:val="5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/>
        <w:jc w:val="left"/>
        <w:rPr>
          <w:rFonts w:hint="eastAsia" w:ascii="黑体" w:hAnsi="黑体" w:eastAsia="黑体" w:cs="黑体"/>
          <w:b w:val="0"/>
          <w:bCs w:val="0"/>
          <w:snapToGrid/>
          <w:kern w:val="2"/>
          <w:sz w:val="32"/>
          <w:szCs w:val="32"/>
          <w:u w:val="none"/>
          <w:lang w:val="en-US" w:eastAsia="zh-CN" w:bidi="ar-SA"/>
        </w:rPr>
      </w:pPr>
    </w:p>
    <w:sectPr>
      <w:pgSz w:w="11906" w:h="16839"/>
      <w:pgMar w:top="1431" w:right="1147" w:bottom="1694" w:left="940" w:header="0" w:footer="1531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FangSong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EFF1615"/>
    <w:multiLevelType w:val="singleLevel"/>
    <w:tmpl w:val="EEFF1615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displayBackgroundShape w:val="true"/>
  <w:bordersDoNotSurroundHeader w:val="false"/>
  <w:bordersDoNotSurroundFooter w:val="false"/>
  <w:documentProtection w:enforcement="0"/>
  <w:displayHorizontalDrawingGridEvery w:val="1"/>
  <w:displayVerticalDrawingGridEvery w:val="1"/>
  <w:noPunctuationKerning w:val="true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</w:compat>
  <w:rsids>
    <w:rsidRoot w:val="00000000"/>
    <w:rsid w:val="3FBF58E7"/>
    <w:rsid w:val="469D04E1"/>
    <w:rsid w:val="4DE90991"/>
    <w:rsid w:val="4F7F4B39"/>
    <w:rsid w:val="54A156E6"/>
    <w:rsid w:val="60F01468"/>
    <w:rsid w:val="619A155F"/>
    <w:rsid w:val="6DF72AC6"/>
    <w:rsid w:val="77312252"/>
    <w:rsid w:val="BDFD581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szCs w:val="22"/>
      <w:lang w:val="en-US" w:eastAsia="zh-CN"/>
    </w:rPr>
  </w:style>
  <w:style w:type="paragraph" w:styleId="3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Body Text First Indent"/>
    <w:basedOn w:val="3"/>
    <w:qFormat/>
    <w:uiPriority w:val="0"/>
    <w:pPr>
      <w:ind w:firstLine="420" w:firstLineChars="100"/>
    </w:pPr>
    <w:rPr>
      <w:kern w:val="0"/>
      <w:sz w:val="20"/>
      <w:szCs w:val="20"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character" w:customStyle="1" w:styleId="10">
    <w:name w:val="NormalCharacter"/>
    <w:semiHidden/>
    <w:qFormat/>
    <w:uiPriority w:val="0"/>
  </w:style>
  <w:style w:type="character" w:customStyle="1" w:styleId="11">
    <w:name w:val="font11"/>
    <w:basedOn w:val="7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2">
    <w:name w:val="font21"/>
    <w:basedOn w:val="7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TotalTime>6</TotalTime>
  <ScaleCrop>false</ScaleCrop>
  <LinksUpToDate>false</LinksUpToDate>
  <Application>WPS Office_11.8.2.10337_F1E327BC-269C-435d-A152-05C5408002CA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2025-07-25T20:59:00Z</dcterms:created>
  <dc:creator>李政/卫生局/FUZHOU</dc:creator>
  <cp:lastModifiedBy>uos</cp:lastModifiedBy>
  <cp:lastPrinted>2026-03-02T10:24:00Z</cp:lastPrinted>
  <dcterms:modified xsi:type="dcterms:W3CDTF">2026-03-01T18:25:43Z</dcterms:modified>
  <dc:title>No:0000001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2025-07-29T09:13:07Z</vt:filetime>
  </property>
  <property fmtid="{D5CDD505-2E9C-101B-9397-08002B2CF9AE}" pid="4" name="KSOProductBuildVer">
    <vt:lpwstr>2052-11.8.2.10337</vt:lpwstr>
  </property>
  <property fmtid="{D5CDD505-2E9C-101B-9397-08002B2CF9AE}" pid="5" name="ICV">
    <vt:lpwstr>9BCADF8215E24F83A230A67D96ED7F24</vt:lpwstr>
  </property>
</Properties>
</file>