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A17E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福州市国动办体育健身器材</w:t>
      </w:r>
    </w:p>
    <w:p w14:paraId="1BABD41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自主采购工作方案</w:t>
      </w:r>
    </w:p>
    <w:bookmarkEnd w:id="0"/>
    <w:p w14:paraId="22A424F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cs="仿宋_GB2312"/>
          <w:sz w:val="32"/>
          <w:szCs w:val="32"/>
          <w:lang w:val="en-US" w:eastAsia="zh-CN"/>
        </w:rPr>
      </w:pPr>
    </w:p>
    <w:p w14:paraId="37172AA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14:paraId="51372A9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(一)项目预算（最高限价）:5万元。</w:t>
      </w:r>
    </w:p>
    <w:p w14:paraId="0307428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cs="仿宋_GB2312"/>
          <w:sz w:val="32"/>
          <w:szCs w:val="32"/>
          <w:lang w:val="en-US" w:eastAsia="zh-CN"/>
        </w:rPr>
      </w:pPr>
      <w:r>
        <w:rPr>
          <w:rFonts w:hint="eastAsia" w:ascii="仿宋_GB2312" w:hAnsi="仿宋_GB2312" w:eastAsia="仿宋_GB2312" w:cs="仿宋_GB2312"/>
          <w:sz w:val="32"/>
          <w:szCs w:val="32"/>
          <w:lang w:val="en-US" w:eastAsia="zh-CN"/>
        </w:rPr>
        <w:t xml:space="preserve">(二)评标方法：采用最低评标价法，资格性审查全部通过前提下，最低报价的投标人作为中标候选人。 </w:t>
      </w:r>
    </w:p>
    <w:p w14:paraId="39DEB54B">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二、采购项目内容（以下内容不允许负偏离）</w:t>
      </w:r>
    </w:p>
    <w:tbl>
      <w:tblPr>
        <w:tblStyle w:val="4"/>
        <w:tblW w:w="9115" w:type="dxa"/>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315"/>
        <w:gridCol w:w="773"/>
        <w:gridCol w:w="704"/>
        <w:gridCol w:w="5527"/>
      </w:tblGrid>
      <w:tr w14:paraId="4C84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15256564">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序号</w:t>
            </w:r>
          </w:p>
        </w:tc>
        <w:tc>
          <w:tcPr>
            <w:tcW w:w="1315" w:type="dxa"/>
            <w:noWrap w:val="0"/>
            <w:vAlign w:val="center"/>
          </w:tcPr>
          <w:p w14:paraId="2E7F7E1F">
            <w:pPr>
              <w:widowControl/>
              <w:spacing w:line="405" w:lineRule="atLeast"/>
              <w:jc w:val="both"/>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采购</w:t>
            </w:r>
            <w:r>
              <w:rPr>
                <w:rFonts w:hint="eastAsia" w:ascii="仿宋" w:hAnsi="仿宋" w:eastAsia="仿宋" w:cs="仿宋"/>
                <w:kern w:val="0"/>
                <w:sz w:val="24"/>
                <w:szCs w:val="24"/>
                <w:lang w:val="en-US" w:eastAsia="zh-CN"/>
              </w:rPr>
              <w:t>内容</w:t>
            </w:r>
          </w:p>
        </w:tc>
        <w:tc>
          <w:tcPr>
            <w:tcW w:w="773" w:type="dxa"/>
            <w:noWrap w:val="0"/>
            <w:vAlign w:val="center"/>
          </w:tcPr>
          <w:p w14:paraId="46D43420">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单位</w:t>
            </w:r>
          </w:p>
        </w:tc>
        <w:tc>
          <w:tcPr>
            <w:tcW w:w="704" w:type="dxa"/>
            <w:noWrap w:val="0"/>
            <w:vAlign w:val="center"/>
          </w:tcPr>
          <w:p w14:paraId="09BC367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数量</w:t>
            </w:r>
          </w:p>
        </w:tc>
        <w:tc>
          <w:tcPr>
            <w:tcW w:w="5527" w:type="dxa"/>
            <w:noWrap w:val="0"/>
            <w:vAlign w:val="center"/>
          </w:tcPr>
          <w:p w14:paraId="09857CE4">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参数</w:t>
            </w:r>
          </w:p>
        </w:tc>
      </w:tr>
      <w:tr w14:paraId="7E25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72883092">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1</w:t>
            </w:r>
          </w:p>
        </w:tc>
        <w:tc>
          <w:tcPr>
            <w:tcW w:w="1315" w:type="dxa"/>
            <w:noWrap w:val="0"/>
            <w:vAlign w:val="center"/>
          </w:tcPr>
          <w:p w14:paraId="1B16266A">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中式台球桌</w:t>
            </w:r>
          </w:p>
        </w:tc>
        <w:tc>
          <w:tcPr>
            <w:tcW w:w="773" w:type="dxa"/>
            <w:noWrap w:val="0"/>
            <w:vAlign w:val="center"/>
          </w:tcPr>
          <w:p w14:paraId="1E7483F7">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台</w:t>
            </w:r>
          </w:p>
        </w:tc>
        <w:tc>
          <w:tcPr>
            <w:tcW w:w="704" w:type="dxa"/>
            <w:noWrap w:val="0"/>
            <w:vAlign w:val="center"/>
          </w:tcPr>
          <w:p w14:paraId="40028E2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 xml:space="preserve">1 </w:t>
            </w:r>
          </w:p>
        </w:tc>
        <w:tc>
          <w:tcPr>
            <w:tcW w:w="5527" w:type="dxa"/>
            <w:noWrap w:val="0"/>
            <w:vAlign w:val="center"/>
          </w:tcPr>
          <w:p w14:paraId="49BD13AC">
            <w:pPr>
              <w:pStyle w:val="6"/>
              <w:widowControl/>
              <w:numPr>
                <w:ilvl w:val="0"/>
                <w:numId w:val="0"/>
              </w:numPr>
              <w:spacing w:line="405" w:lineRule="atLeast"/>
              <w:ind w:leftChars="0"/>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标准配置：青石板、普顺毛布、国产普通球、木杆架、杆头、巧克粉各一套</w:t>
            </w:r>
          </w:p>
        </w:tc>
      </w:tr>
      <w:tr w14:paraId="73B0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23FAFFE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2</w:t>
            </w:r>
          </w:p>
        </w:tc>
        <w:tc>
          <w:tcPr>
            <w:tcW w:w="1315" w:type="dxa"/>
            <w:noWrap w:val="0"/>
            <w:vAlign w:val="center"/>
          </w:tcPr>
          <w:p w14:paraId="59893A29">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前驱椭圆机</w:t>
            </w:r>
          </w:p>
        </w:tc>
        <w:tc>
          <w:tcPr>
            <w:tcW w:w="773" w:type="dxa"/>
            <w:noWrap w:val="0"/>
            <w:vAlign w:val="center"/>
          </w:tcPr>
          <w:p w14:paraId="33FE7146">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台</w:t>
            </w:r>
          </w:p>
        </w:tc>
        <w:tc>
          <w:tcPr>
            <w:tcW w:w="704" w:type="dxa"/>
            <w:noWrap w:val="0"/>
            <w:vAlign w:val="center"/>
          </w:tcPr>
          <w:p w14:paraId="7BAFFABF">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 xml:space="preserve">1 </w:t>
            </w:r>
          </w:p>
        </w:tc>
        <w:tc>
          <w:tcPr>
            <w:tcW w:w="5527" w:type="dxa"/>
            <w:noWrap w:val="0"/>
            <w:vAlign w:val="center"/>
          </w:tcPr>
          <w:p w14:paraId="1BE71857">
            <w:pPr>
              <w:pStyle w:val="6"/>
              <w:widowControl/>
              <w:numPr>
                <w:ilvl w:val="0"/>
                <w:numId w:val="0"/>
              </w:numPr>
              <w:spacing w:line="405" w:lineRule="atLeast"/>
              <w:ind w:leftChars="0"/>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步幅：≥18英寸；</w:t>
            </w:r>
          </w:p>
          <w:p w14:paraId="6DFE2FD3">
            <w:pPr>
              <w:pStyle w:val="6"/>
              <w:widowControl/>
              <w:numPr>
                <w:ilvl w:val="0"/>
                <w:numId w:val="0"/>
              </w:numPr>
              <w:spacing w:line="405" w:lineRule="atLeast"/>
              <w:ind w:leftChars="0"/>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磁控轮：≥7KG;内磁；</w:t>
            </w:r>
          </w:p>
          <w:p w14:paraId="10797AE3">
            <w:pPr>
              <w:pStyle w:val="6"/>
              <w:widowControl/>
              <w:numPr>
                <w:ilvl w:val="0"/>
                <w:numId w:val="0"/>
              </w:numPr>
              <w:spacing w:line="405" w:lineRule="atLeast"/>
              <w:ind w:leftChars="0"/>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阻力：微调电磁控≥24段；</w:t>
            </w:r>
          </w:p>
          <w:p w14:paraId="51157B2B">
            <w:pPr>
              <w:pStyle w:val="6"/>
              <w:widowControl/>
              <w:numPr>
                <w:ilvl w:val="0"/>
                <w:numId w:val="0"/>
              </w:numPr>
              <w:spacing w:line="405" w:lineRule="atLeast"/>
              <w:ind w:leftChars="0"/>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 xml:space="preserve">最大承重：≥130kg； </w:t>
            </w:r>
          </w:p>
        </w:tc>
      </w:tr>
      <w:tr w14:paraId="008F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5087B43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3</w:t>
            </w:r>
          </w:p>
        </w:tc>
        <w:tc>
          <w:tcPr>
            <w:tcW w:w="1315" w:type="dxa"/>
            <w:noWrap w:val="0"/>
            <w:vAlign w:val="center"/>
          </w:tcPr>
          <w:p w14:paraId="54786B74">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背部伸展练习器</w:t>
            </w:r>
          </w:p>
        </w:tc>
        <w:tc>
          <w:tcPr>
            <w:tcW w:w="773" w:type="dxa"/>
            <w:noWrap w:val="0"/>
            <w:vAlign w:val="center"/>
          </w:tcPr>
          <w:p w14:paraId="2D933C3A">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台</w:t>
            </w:r>
          </w:p>
        </w:tc>
        <w:tc>
          <w:tcPr>
            <w:tcW w:w="704" w:type="dxa"/>
            <w:noWrap w:val="0"/>
            <w:vAlign w:val="center"/>
          </w:tcPr>
          <w:p w14:paraId="5BA6D75A">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 xml:space="preserve">1 </w:t>
            </w:r>
          </w:p>
        </w:tc>
        <w:tc>
          <w:tcPr>
            <w:tcW w:w="5527" w:type="dxa"/>
            <w:noWrap w:val="0"/>
            <w:vAlign w:val="center"/>
          </w:tcPr>
          <w:p w14:paraId="5BF77B4F">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1、靠垫高度可调节；</w:t>
            </w:r>
          </w:p>
          <w:p w14:paraId="3335E389">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2、最大训练载荷为≥210kg；</w:t>
            </w:r>
          </w:p>
          <w:p w14:paraId="79D5A44F">
            <w:pPr>
              <w:widowControl/>
              <w:spacing w:line="405" w:lineRule="atLeast"/>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3、最大人体质量为≥200kg；</w:t>
            </w:r>
          </w:p>
        </w:tc>
      </w:tr>
      <w:tr w14:paraId="621E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145610BA">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4</w:t>
            </w:r>
          </w:p>
        </w:tc>
        <w:tc>
          <w:tcPr>
            <w:tcW w:w="1315" w:type="dxa"/>
            <w:noWrap w:val="0"/>
            <w:vAlign w:val="center"/>
          </w:tcPr>
          <w:p w14:paraId="299E45F9">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大腿伸展训练器</w:t>
            </w:r>
          </w:p>
        </w:tc>
        <w:tc>
          <w:tcPr>
            <w:tcW w:w="773" w:type="dxa"/>
            <w:noWrap w:val="0"/>
            <w:vAlign w:val="center"/>
          </w:tcPr>
          <w:p w14:paraId="2195F52A">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台</w:t>
            </w:r>
          </w:p>
        </w:tc>
        <w:tc>
          <w:tcPr>
            <w:tcW w:w="704" w:type="dxa"/>
            <w:noWrap w:val="0"/>
            <w:vAlign w:val="center"/>
          </w:tcPr>
          <w:p w14:paraId="7FDD78E5">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 xml:space="preserve">1 </w:t>
            </w:r>
          </w:p>
        </w:tc>
        <w:tc>
          <w:tcPr>
            <w:tcW w:w="5527" w:type="dxa"/>
            <w:noWrap w:val="0"/>
            <w:vAlign w:val="center"/>
          </w:tcPr>
          <w:p w14:paraId="75D44A81">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1、阻力形式为杠铃片；</w:t>
            </w:r>
          </w:p>
          <w:p w14:paraId="6EEA2DE7">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2、最大人体质量为≥200kg；</w:t>
            </w:r>
          </w:p>
          <w:p w14:paraId="6649B507">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3、最大训练载荷为≥360kg；</w:t>
            </w:r>
          </w:p>
          <w:p w14:paraId="10F550FC">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4、后背座椅调节档数≥5档；</w:t>
            </w:r>
          </w:p>
          <w:p w14:paraId="208B6EFD">
            <w:pPr>
              <w:widowControl/>
              <w:spacing w:line="405" w:lineRule="atLeast"/>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5、</w:t>
            </w:r>
            <w:r>
              <w:rPr>
                <w:rFonts w:hint="eastAsia" w:ascii="仿宋" w:hAnsi="仿宋" w:eastAsia="仿宋" w:cs="仿宋"/>
                <w:color w:val="333333"/>
                <w:kern w:val="0"/>
                <w:sz w:val="24"/>
                <w:szCs w:val="24"/>
                <w:lang w:bidi="ar"/>
              </w:rPr>
              <w:t>杠铃片数量不少于4片，总重量不低于40kg。</w:t>
            </w:r>
          </w:p>
        </w:tc>
      </w:tr>
      <w:tr w14:paraId="54B5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1482A92C">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5</w:t>
            </w:r>
          </w:p>
        </w:tc>
        <w:tc>
          <w:tcPr>
            <w:tcW w:w="1315" w:type="dxa"/>
            <w:noWrap w:val="0"/>
            <w:vAlign w:val="center"/>
          </w:tcPr>
          <w:p w14:paraId="1771842D">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史密斯机</w:t>
            </w:r>
          </w:p>
        </w:tc>
        <w:tc>
          <w:tcPr>
            <w:tcW w:w="773" w:type="dxa"/>
            <w:noWrap w:val="0"/>
            <w:vAlign w:val="center"/>
          </w:tcPr>
          <w:p w14:paraId="1332D13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台</w:t>
            </w:r>
          </w:p>
        </w:tc>
        <w:tc>
          <w:tcPr>
            <w:tcW w:w="704" w:type="dxa"/>
            <w:noWrap w:val="0"/>
            <w:vAlign w:val="center"/>
          </w:tcPr>
          <w:p w14:paraId="09D592F4">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 xml:space="preserve">1 </w:t>
            </w:r>
          </w:p>
        </w:tc>
        <w:tc>
          <w:tcPr>
            <w:tcW w:w="5527" w:type="dxa"/>
            <w:noWrap w:val="0"/>
            <w:vAlign w:val="center"/>
          </w:tcPr>
          <w:p w14:paraId="733CE0F2">
            <w:pPr>
              <w:pStyle w:val="6"/>
              <w:widowControl/>
              <w:numPr>
                <w:ilvl w:val="0"/>
                <w:numId w:val="0"/>
              </w:numPr>
              <w:spacing w:line="360" w:lineRule="auto"/>
              <w:ind w:leftChars="0"/>
              <w:jc w:val="left"/>
              <w:rPr>
                <w:rFonts w:hint="eastAsia" w:ascii="仿宋" w:hAnsi="仿宋" w:eastAsia="仿宋" w:cs="仿宋"/>
                <w:color w:val="333333"/>
                <w:kern w:val="0"/>
                <w:sz w:val="24"/>
                <w:szCs w:val="24"/>
                <w:lang w:bidi="ar"/>
              </w:rPr>
            </w:pPr>
            <w:r>
              <w:rPr>
                <w:rFonts w:hint="eastAsia" w:ascii="仿宋" w:hAnsi="仿宋" w:eastAsia="仿宋" w:cs="仿宋"/>
                <w:color w:val="333333"/>
                <w:kern w:val="0"/>
                <w:sz w:val="24"/>
                <w:szCs w:val="24"/>
                <w:lang w:val="en-US" w:eastAsia="zh-CN" w:bidi="ar"/>
              </w:rPr>
              <w:t>1、</w:t>
            </w:r>
            <w:r>
              <w:rPr>
                <w:rFonts w:hint="eastAsia" w:ascii="仿宋" w:hAnsi="仿宋" w:eastAsia="仿宋" w:cs="仿宋"/>
                <w:color w:val="333333"/>
                <w:kern w:val="0"/>
                <w:sz w:val="24"/>
                <w:szCs w:val="24"/>
                <w:lang w:bidi="ar"/>
              </w:rPr>
              <w:t>阻力形式为杠铃片；</w:t>
            </w:r>
          </w:p>
          <w:p w14:paraId="3CA13932">
            <w:pPr>
              <w:pStyle w:val="6"/>
              <w:widowControl/>
              <w:numPr>
                <w:ilvl w:val="0"/>
                <w:numId w:val="0"/>
              </w:numPr>
              <w:spacing w:line="360" w:lineRule="auto"/>
              <w:ind w:leftChars="0"/>
              <w:jc w:val="left"/>
              <w:rPr>
                <w:rFonts w:hint="eastAsia" w:ascii="仿宋" w:hAnsi="仿宋" w:eastAsia="仿宋" w:cs="仿宋"/>
                <w:color w:val="333333"/>
                <w:kern w:val="0"/>
                <w:sz w:val="24"/>
                <w:szCs w:val="24"/>
                <w:lang w:bidi="ar"/>
              </w:rPr>
            </w:pPr>
            <w:r>
              <w:rPr>
                <w:rFonts w:hint="eastAsia" w:ascii="仿宋" w:hAnsi="仿宋" w:eastAsia="仿宋" w:cs="仿宋"/>
                <w:color w:val="333333"/>
                <w:kern w:val="0"/>
                <w:sz w:val="24"/>
                <w:szCs w:val="24"/>
                <w:lang w:val="en-US" w:eastAsia="zh-CN" w:bidi="ar"/>
              </w:rPr>
              <w:t>2、</w:t>
            </w:r>
            <w:r>
              <w:rPr>
                <w:rFonts w:hint="eastAsia" w:ascii="仿宋" w:hAnsi="仿宋" w:eastAsia="仿宋" w:cs="仿宋"/>
                <w:color w:val="333333"/>
                <w:kern w:val="0"/>
                <w:sz w:val="24"/>
                <w:szCs w:val="24"/>
                <w:lang w:bidi="ar"/>
              </w:rPr>
              <w:t>杠铃杆高度</w:t>
            </w:r>
            <w:r>
              <w:rPr>
                <w:rFonts w:hint="eastAsia" w:ascii="仿宋" w:hAnsi="仿宋" w:eastAsia="仿宋" w:cs="仿宋"/>
                <w:kern w:val="0"/>
                <w:sz w:val="24"/>
                <w:szCs w:val="24"/>
              </w:rPr>
              <w:t>不少于</w:t>
            </w:r>
            <w:r>
              <w:rPr>
                <w:rFonts w:hint="eastAsia" w:ascii="仿宋" w:hAnsi="仿宋" w:eastAsia="仿宋" w:cs="仿宋"/>
                <w:color w:val="333333"/>
                <w:kern w:val="0"/>
                <w:sz w:val="24"/>
                <w:szCs w:val="24"/>
                <w:lang w:bidi="ar"/>
              </w:rPr>
              <w:t xml:space="preserve">18级可调； </w:t>
            </w:r>
          </w:p>
          <w:p w14:paraId="6211974D">
            <w:pPr>
              <w:pStyle w:val="6"/>
              <w:widowControl/>
              <w:numPr>
                <w:ilvl w:val="0"/>
                <w:numId w:val="0"/>
              </w:numPr>
              <w:spacing w:line="360" w:lineRule="auto"/>
              <w:ind w:leftChars="0"/>
              <w:jc w:val="left"/>
              <w:rPr>
                <w:rFonts w:hint="eastAsia" w:ascii="仿宋" w:hAnsi="仿宋" w:eastAsia="仿宋" w:cs="仿宋"/>
                <w:color w:val="333333"/>
                <w:kern w:val="0"/>
                <w:sz w:val="24"/>
                <w:szCs w:val="24"/>
                <w:lang w:bidi="ar"/>
              </w:rPr>
            </w:pPr>
            <w:r>
              <w:rPr>
                <w:rFonts w:hint="eastAsia" w:ascii="仿宋" w:hAnsi="仿宋" w:eastAsia="仿宋" w:cs="仿宋"/>
                <w:color w:val="333333"/>
                <w:kern w:val="0"/>
                <w:sz w:val="24"/>
                <w:szCs w:val="24"/>
                <w:lang w:val="en-US" w:eastAsia="zh-CN" w:bidi="ar"/>
              </w:rPr>
              <w:t>3、</w:t>
            </w:r>
            <w:r>
              <w:rPr>
                <w:rFonts w:hint="eastAsia" w:ascii="仿宋" w:hAnsi="仿宋" w:eastAsia="仿宋" w:cs="仿宋"/>
                <w:color w:val="333333"/>
                <w:kern w:val="0"/>
                <w:sz w:val="24"/>
                <w:szCs w:val="24"/>
                <w:lang w:bidi="ar"/>
              </w:rPr>
              <w:t>牵索形式：钢丝绳+滑轮；</w:t>
            </w:r>
          </w:p>
          <w:p w14:paraId="1625B07A">
            <w:pPr>
              <w:pStyle w:val="6"/>
              <w:widowControl/>
              <w:numPr>
                <w:ilvl w:val="0"/>
                <w:numId w:val="0"/>
              </w:numPr>
              <w:spacing w:line="360" w:lineRule="auto"/>
              <w:ind w:leftChars="0"/>
              <w:jc w:val="left"/>
              <w:rPr>
                <w:rFonts w:hint="eastAsia" w:ascii="仿宋" w:hAnsi="仿宋" w:eastAsia="仿宋" w:cs="仿宋"/>
                <w:color w:val="333333"/>
                <w:kern w:val="0"/>
                <w:sz w:val="24"/>
                <w:szCs w:val="24"/>
                <w:lang w:bidi="ar"/>
              </w:rPr>
            </w:pPr>
            <w:r>
              <w:rPr>
                <w:rFonts w:hint="eastAsia" w:ascii="仿宋" w:hAnsi="仿宋" w:eastAsia="仿宋" w:cs="仿宋"/>
                <w:color w:val="333333"/>
                <w:kern w:val="0"/>
                <w:sz w:val="24"/>
                <w:szCs w:val="24"/>
                <w:lang w:val="en-US" w:eastAsia="zh-CN" w:bidi="ar"/>
              </w:rPr>
              <w:t>4、</w:t>
            </w:r>
            <w:r>
              <w:rPr>
                <w:rFonts w:hint="eastAsia" w:ascii="仿宋" w:hAnsi="仿宋" w:eastAsia="仿宋" w:cs="仿宋"/>
                <w:color w:val="333333"/>
                <w:kern w:val="0"/>
                <w:sz w:val="24"/>
                <w:szCs w:val="24"/>
                <w:lang w:bidi="ar"/>
              </w:rPr>
              <w:t>杠铃片数量不少于6片，总重量不低于60kg。</w:t>
            </w:r>
          </w:p>
          <w:p w14:paraId="60899FEA">
            <w:pPr>
              <w:pStyle w:val="6"/>
              <w:widowControl/>
              <w:numPr>
                <w:ilvl w:val="0"/>
                <w:numId w:val="0"/>
              </w:numPr>
              <w:spacing w:line="360" w:lineRule="auto"/>
              <w:ind w:leftChars="0"/>
              <w:jc w:val="left"/>
              <w:rPr>
                <w:rFonts w:hint="eastAsia" w:ascii="仿宋" w:hAnsi="仿宋" w:eastAsia="仿宋" w:cs="仿宋"/>
                <w:sz w:val="32"/>
                <w:szCs w:val="32"/>
                <w:vertAlign w:val="baseline"/>
                <w:lang w:val="en-US" w:eastAsia="zh-CN"/>
              </w:rPr>
            </w:pPr>
            <w:r>
              <w:rPr>
                <w:rFonts w:hint="eastAsia" w:ascii="仿宋" w:hAnsi="仿宋" w:eastAsia="仿宋" w:cs="仿宋"/>
                <w:color w:val="333333"/>
                <w:kern w:val="0"/>
                <w:sz w:val="24"/>
                <w:szCs w:val="24"/>
                <w:lang w:val="en-US" w:eastAsia="zh-CN" w:bidi="ar"/>
              </w:rPr>
              <w:t>5、</w:t>
            </w:r>
            <w:r>
              <w:rPr>
                <w:rFonts w:hint="eastAsia" w:ascii="仿宋" w:hAnsi="仿宋" w:eastAsia="仿宋" w:cs="仿宋"/>
                <w:color w:val="333333"/>
                <w:kern w:val="0"/>
                <w:sz w:val="24"/>
                <w:szCs w:val="24"/>
                <w:lang w:bidi="ar"/>
              </w:rPr>
              <w:t>钢丝绳及滑轮：按照国标GB 17498.2-2008中6.5条进行不少于30万次周期耐久测试后，器材的钢丝绳及轮滑均无破坏，且能正常使用，投标人须提供具备法定资质的检测机构出具有CMA或CNAS标识的检测报告复印件佐证。</w:t>
            </w:r>
          </w:p>
        </w:tc>
      </w:tr>
      <w:tr w14:paraId="3A95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407B687E">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6</w:t>
            </w:r>
          </w:p>
        </w:tc>
        <w:tc>
          <w:tcPr>
            <w:tcW w:w="1315" w:type="dxa"/>
            <w:noWrap w:val="0"/>
            <w:vAlign w:val="center"/>
          </w:tcPr>
          <w:p w14:paraId="51C19E3D">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高拉训练器</w:t>
            </w:r>
          </w:p>
        </w:tc>
        <w:tc>
          <w:tcPr>
            <w:tcW w:w="773" w:type="dxa"/>
            <w:noWrap w:val="0"/>
            <w:vAlign w:val="center"/>
          </w:tcPr>
          <w:p w14:paraId="29F8F8D8">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台</w:t>
            </w:r>
          </w:p>
        </w:tc>
        <w:tc>
          <w:tcPr>
            <w:tcW w:w="704" w:type="dxa"/>
            <w:noWrap w:val="0"/>
            <w:vAlign w:val="center"/>
          </w:tcPr>
          <w:p w14:paraId="194C021E">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sz w:val="20"/>
                <w:szCs w:val="20"/>
              </w:rPr>
              <w:t xml:space="preserve">1 </w:t>
            </w:r>
          </w:p>
        </w:tc>
        <w:tc>
          <w:tcPr>
            <w:tcW w:w="5527" w:type="dxa"/>
            <w:noWrap w:val="0"/>
            <w:vAlign w:val="center"/>
          </w:tcPr>
          <w:p w14:paraId="188025F4">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1、阻力形式为杠铃片；</w:t>
            </w:r>
          </w:p>
          <w:p w14:paraId="503AB740">
            <w:pPr>
              <w:widowControl/>
              <w:spacing w:line="405" w:lineRule="atLeast"/>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2、座椅调节档数不小于12档，调节高度范围不小于170mm；</w:t>
            </w:r>
          </w:p>
          <w:p w14:paraId="0E5053AE">
            <w:pPr>
              <w:widowControl/>
              <w:spacing w:line="405" w:lineRule="atLeast"/>
              <w:jc w:val="left"/>
              <w:textAlignment w:val="center"/>
              <w:rPr>
                <w:rFonts w:hint="eastAsia" w:ascii="仿宋" w:hAnsi="仿宋" w:eastAsia="仿宋" w:cs="仿宋"/>
                <w:color w:val="333333"/>
                <w:kern w:val="0"/>
                <w:sz w:val="24"/>
                <w:szCs w:val="24"/>
                <w:lang w:bidi="ar"/>
              </w:rPr>
            </w:pPr>
            <w:r>
              <w:rPr>
                <w:rFonts w:hint="eastAsia" w:ascii="仿宋" w:hAnsi="仿宋" w:eastAsia="仿宋" w:cs="仿宋"/>
                <w:kern w:val="0"/>
                <w:sz w:val="24"/>
                <w:szCs w:val="24"/>
              </w:rPr>
              <w:t>3、</w:t>
            </w:r>
            <w:r>
              <w:rPr>
                <w:rFonts w:hint="eastAsia" w:ascii="仿宋" w:hAnsi="仿宋" w:eastAsia="仿宋" w:cs="仿宋"/>
                <w:color w:val="333333"/>
                <w:kern w:val="0"/>
                <w:sz w:val="24"/>
                <w:szCs w:val="24"/>
                <w:lang w:bidi="ar"/>
              </w:rPr>
              <w:t>杠铃片数量不少于4片，总重量不低于30kg。</w:t>
            </w:r>
          </w:p>
          <w:p w14:paraId="65A88713">
            <w:pPr>
              <w:widowControl/>
              <w:spacing w:line="405" w:lineRule="atLeast"/>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4、所投健身器材钢管采用优质钢管，钢管经过磁粉无损检测（MT）后，表面无缺陷，依据GB/T 42673-2023标准，验收等级为M1级，须提供具备法定资质的检测机构出具有CMA或CNAS标识的检测报告复印件佐证；</w:t>
            </w:r>
          </w:p>
        </w:tc>
      </w:tr>
      <w:tr w14:paraId="070B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6" w:type="dxa"/>
            <w:noWrap w:val="0"/>
            <w:vAlign w:val="center"/>
          </w:tcPr>
          <w:p w14:paraId="626897AF">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kern w:val="0"/>
                <w:sz w:val="24"/>
                <w:szCs w:val="24"/>
              </w:rPr>
              <w:t>7</w:t>
            </w:r>
          </w:p>
        </w:tc>
        <w:tc>
          <w:tcPr>
            <w:tcW w:w="1315" w:type="dxa"/>
            <w:noWrap w:val="0"/>
            <w:vAlign w:val="center"/>
          </w:tcPr>
          <w:p w14:paraId="7F630DD7">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健腹板</w:t>
            </w:r>
          </w:p>
        </w:tc>
        <w:tc>
          <w:tcPr>
            <w:tcW w:w="773" w:type="dxa"/>
            <w:noWrap w:val="0"/>
            <w:vAlign w:val="center"/>
          </w:tcPr>
          <w:p w14:paraId="5A36DABE">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台</w:t>
            </w:r>
          </w:p>
        </w:tc>
        <w:tc>
          <w:tcPr>
            <w:tcW w:w="704" w:type="dxa"/>
            <w:noWrap w:val="0"/>
            <w:vAlign w:val="center"/>
          </w:tcPr>
          <w:p w14:paraId="5945693D">
            <w:pPr>
              <w:widowControl/>
              <w:spacing w:line="405" w:lineRule="atLeast"/>
              <w:jc w:val="center"/>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000000"/>
                <w:sz w:val="20"/>
                <w:szCs w:val="20"/>
              </w:rPr>
              <w:t xml:space="preserve">1 </w:t>
            </w:r>
          </w:p>
        </w:tc>
        <w:tc>
          <w:tcPr>
            <w:tcW w:w="5527" w:type="dxa"/>
            <w:noWrap w:val="0"/>
            <w:vAlign w:val="center"/>
          </w:tcPr>
          <w:p w14:paraId="3A7587B7">
            <w:pPr>
              <w:pStyle w:val="6"/>
              <w:widowControl/>
              <w:numPr>
                <w:ilvl w:val="0"/>
                <w:numId w:val="0"/>
              </w:numPr>
              <w:spacing w:line="405" w:lineRule="atLeast"/>
              <w:ind w:leftChars="0"/>
              <w:jc w:val="left"/>
              <w:textAlignment w:val="center"/>
              <w:rPr>
                <w:rFonts w:hint="eastAsia" w:ascii="仿宋" w:hAnsi="仿宋" w:eastAsia="仿宋" w:cs="仿宋"/>
                <w:color w:val="333333"/>
                <w:kern w:val="0"/>
                <w:sz w:val="24"/>
                <w:szCs w:val="24"/>
                <w:lang w:bidi="ar"/>
              </w:rPr>
            </w:pPr>
            <w:r>
              <w:rPr>
                <w:rFonts w:hint="eastAsia" w:ascii="仿宋" w:hAnsi="仿宋" w:eastAsia="仿宋" w:cs="仿宋"/>
                <w:color w:val="333333"/>
                <w:kern w:val="0"/>
                <w:sz w:val="24"/>
                <w:szCs w:val="24"/>
                <w:lang w:val="en-US" w:eastAsia="zh-CN" w:bidi="ar"/>
              </w:rPr>
              <w:t>1、</w:t>
            </w:r>
            <w:r>
              <w:rPr>
                <w:rFonts w:hint="eastAsia" w:ascii="仿宋" w:hAnsi="仿宋" w:eastAsia="仿宋" w:cs="仿宋"/>
                <w:color w:val="333333"/>
                <w:kern w:val="0"/>
                <w:sz w:val="24"/>
                <w:szCs w:val="24"/>
                <w:lang w:bidi="ar"/>
              </w:rPr>
              <w:t>可调角度：</w:t>
            </w:r>
            <w:r>
              <w:rPr>
                <w:rFonts w:hint="eastAsia" w:ascii="仿宋" w:hAnsi="仿宋" w:eastAsia="仿宋" w:cs="仿宋"/>
                <w:kern w:val="0"/>
                <w:sz w:val="24"/>
                <w:szCs w:val="24"/>
              </w:rPr>
              <w:t>≥</w:t>
            </w:r>
            <w:r>
              <w:rPr>
                <w:rFonts w:hint="eastAsia" w:ascii="仿宋" w:hAnsi="仿宋" w:eastAsia="仿宋" w:cs="仿宋"/>
                <w:color w:val="333333"/>
                <w:kern w:val="0"/>
                <w:sz w:val="24"/>
                <w:szCs w:val="24"/>
                <w:lang w:bidi="ar"/>
              </w:rPr>
              <w:t>5档；</w:t>
            </w:r>
          </w:p>
          <w:p w14:paraId="0A1AD5E1">
            <w:pPr>
              <w:pStyle w:val="6"/>
              <w:widowControl/>
              <w:numPr>
                <w:ilvl w:val="0"/>
                <w:numId w:val="0"/>
              </w:numPr>
              <w:spacing w:line="405" w:lineRule="atLeast"/>
              <w:ind w:leftChars="0"/>
              <w:jc w:val="left"/>
              <w:textAlignment w:val="center"/>
              <w:rPr>
                <w:rFonts w:hint="eastAsia" w:ascii="仿宋" w:hAnsi="仿宋" w:eastAsia="仿宋" w:cs="仿宋"/>
                <w:sz w:val="32"/>
                <w:szCs w:val="32"/>
                <w:vertAlign w:val="baseline"/>
                <w:lang w:val="en-US" w:eastAsia="zh-CN"/>
              </w:rPr>
            </w:pPr>
            <w:r>
              <w:rPr>
                <w:rFonts w:hint="eastAsia" w:ascii="仿宋" w:hAnsi="仿宋" w:eastAsia="仿宋" w:cs="仿宋"/>
                <w:color w:val="333333"/>
                <w:kern w:val="0"/>
                <w:sz w:val="24"/>
                <w:szCs w:val="24"/>
                <w:lang w:val="en-US" w:eastAsia="zh-CN" w:bidi="ar"/>
              </w:rPr>
              <w:t>2、</w:t>
            </w:r>
            <w:r>
              <w:rPr>
                <w:rFonts w:hint="eastAsia" w:ascii="仿宋" w:hAnsi="仿宋" w:eastAsia="仿宋" w:cs="仿宋"/>
                <w:color w:val="333333"/>
                <w:kern w:val="0"/>
                <w:sz w:val="24"/>
                <w:szCs w:val="24"/>
                <w:lang w:bidi="ar"/>
              </w:rPr>
              <w:t>躺垫厚度：</w:t>
            </w:r>
            <w:r>
              <w:rPr>
                <w:rFonts w:hint="eastAsia" w:ascii="仿宋" w:hAnsi="仿宋" w:eastAsia="仿宋" w:cs="仿宋"/>
                <w:kern w:val="0"/>
                <w:sz w:val="24"/>
                <w:szCs w:val="24"/>
              </w:rPr>
              <w:t>≥</w:t>
            </w:r>
            <w:r>
              <w:rPr>
                <w:rFonts w:hint="eastAsia" w:ascii="仿宋" w:hAnsi="仿宋" w:eastAsia="仿宋" w:cs="仿宋"/>
                <w:color w:val="333333"/>
                <w:kern w:val="0"/>
                <w:sz w:val="24"/>
                <w:szCs w:val="24"/>
                <w:lang w:bidi="ar"/>
              </w:rPr>
              <w:t xml:space="preserve">60mm； </w:t>
            </w:r>
          </w:p>
        </w:tc>
      </w:tr>
    </w:tbl>
    <w:p w14:paraId="05CF107B">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sz w:val="32"/>
          <w:szCs w:val="32"/>
          <w:lang w:val="en-US" w:eastAsia="zh-CN"/>
        </w:rPr>
        <w:t>三、</w:t>
      </w:r>
      <w:r>
        <w:rPr>
          <w:rFonts w:hint="eastAsia" w:ascii="黑体" w:hAnsi="黑体" w:eastAsia="黑体" w:cs="黑体"/>
          <w:b w:val="0"/>
          <w:bCs w:val="0"/>
          <w:sz w:val="32"/>
          <w:szCs w:val="32"/>
        </w:rPr>
        <w:t>资格</w:t>
      </w:r>
      <w:r>
        <w:rPr>
          <w:rFonts w:hint="eastAsia" w:ascii="黑体" w:hAnsi="黑体" w:eastAsia="黑体" w:cs="黑体"/>
          <w:b w:val="0"/>
          <w:bCs w:val="0"/>
          <w:sz w:val="32"/>
          <w:szCs w:val="32"/>
          <w:lang w:eastAsia="zh-CN"/>
        </w:rPr>
        <w:t>标准</w:t>
      </w:r>
    </w:p>
    <w:p w14:paraId="68E8E43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1.有能力提供所述服务的，具有法人资格的境内服务商均可能成为合格的报价人。</w:t>
      </w:r>
    </w:p>
    <w:p w14:paraId="0AE5AEC4">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2.报价人应当同时提供下列材料：</w:t>
      </w:r>
    </w:p>
    <w:tbl>
      <w:tblPr>
        <w:tblStyle w:val="4"/>
        <w:tblW w:w="9045"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7005"/>
      </w:tblGrid>
      <w:tr w14:paraId="1CED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0" w:hRule="atLeast"/>
        </w:trPr>
        <w:tc>
          <w:tcPr>
            <w:tcW w:w="2040" w:type="dxa"/>
            <w:noWrap w:val="0"/>
            <w:vAlign w:val="center"/>
          </w:tcPr>
          <w:p w14:paraId="0935678A">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 w:hAnsi="仿宋" w:eastAsia="仿宋" w:cs="宋体"/>
                <w:b/>
                <w:bCs/>
                <w:kern w:val="0"/>
                <w:sz w:val="24"/>
                <w:szCs w:val="24"/>
              </w:rPr>
            </w:pPr>
            <w:r>
              <w:rPr>
                <w:rFonts w:hint="eastAsia" w:ascii="仿宋" w:hAnsi="仿宋" w:eastAsia="仿宋" w:cs="宋体"/>
                <w:b/>
                <w:bCs/>
                <w:kern w:val="0"/>
                <w:sz w:val="24"/>
                <w:szCs w:val="24"/>
              </w:rPr>
              <w:t>明细</w:t>
            </w:r>
          </w:p>
        </w:tc>
        <w:tc>
          <w:tcPr>
            <w:tcW w:w="7005" w:type="dxa"/>
            <w:noWrap w:val="0"/>
            <w:vAlign w:val="center"/>
          </w:tcPr>
          <w:p w14:paraId="50D924BD">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仿宋" w:hAnsi="仿宋" w:eastAsia="仿宋" w:cs="宋体"/>
                <w:b/>
                <w:bCs/>
                <w:kern w:val="0"/>
                <w:sz w:val="24"/>
                <w:szCs w:val="24"/>
              </w:rPr>
            </w:pPr>
            <w:r>
              <w:rPr>
                <w:rFonts w:hint="eastAsia" w:ascii="仿宋" w:hAnsi="仿宋" w:eastAsia="仿宋" w:cs="宋体"/>
                <w:b/>
                <w:bCs/>
                <w:kern w:val="0"/>
                <w:sz w:val="24"/>
                <w:szCs w:val="24"/>
              </w:rPr>
              <w:t>描述</w:t>
            </w:r>
          </w:p>
        </w:tc>
      </w:tr>
      <w:tr w14:paraId="0423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trPr>
        <w:tc>
          <w:tcPr>
            <w:tcW w:w="2040" w:type="dxa"/>
            <w:noWrap w:val="0"/>
            <w:vAlign w:val="center"/>
          </w:tcPr>
          <w:p w14:paraId="41AA5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投标函</w:t>
            </w:r>
          </w:p>
        </w:tc>
        <w:tc>
          <w:tcPr>
            <w:tcW w:w="7005" w:type="dxa"/>
            <w:noWrap w:val="0"/>
            <w:vAlign w:val="center"/>
          </w:tcPr>
          <w:p w14:paraId="17922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 </w:t>
            </w:r>
          </w:p>
        </w:tc>
      </w:tr>
      <w:tr w14:paraId="768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0" w:type="dxa"/>
            <w:noWrap w:val="0"/>
            <w:vAlign w:val="center"/>
          </w:tcPr>
          <w:p w14:paraId="1065E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单位负责人授权书</w:t>
            </w:r>
          </w:p>
        </w:tc>
        <w:tc>
          <w:tcPr>
            <w:tcW w:w="7005" w:type="dxa"/>
            <w:noWrap w:val="0"/>
            <w:vAlign w:val="top"/>
          </w:tcPr>
          <w:p w14:paraId="441E4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1、企业（银行、保险、石油石化、电力、电信等行业除外）、事业单位和社会团体法人的“单位负责人”指法定代表人，即与实际提交的“营业执照等证明文件”载明的一致。 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 3、投标人（自然人除外）：若投标人代表为单位负责人授权的委托代理人，应提供本授权书；若投标人代表为单位负责人，应在此项下提交其身份证正反面复印件，可不提供本授权书。 4、投标人为自然人的，可不填写本授权书。 5、纸质投标文件正本中的本授权书（若有）应为原件。</w:t>
            </w:r>
          </w:p>
        </w:tc>
      </w:tr>
      <w:tr w14:paraId="4BF1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0" w:type="dxa"/>
            <w:noWrap w:val="0"/>
            <w:vAlign w:val="center"/>
          </w:tcPr>
          <w:p w14:paraId="2DD63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营业执照等证明文件</w:t>
            </w:r>
          </w:p>
        </w:tc>
        <w:tc>
          <w:tcPr>
            <w:tcW w:w="7005" w:type="dxa"/>
            <w:noWrap w:val="0"/>
            <w:vAlign w:val="top"/>
          </w:tcPr>
          <w:p w14:paraId="52E9D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rightChars="0"/>
              <w:jc w:val="left"/>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EA9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0" w:type="dxa"/>
            <w:noWrap w:val="0"/>
            <w:vAlign w:val="center"/>
          </w:tcPr>
          <w:p w14:paraId="00D4F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参加采购活动前三年内在经营活动中没有重大违法记录书面声明</w:t>
            </w:r>
          </w:p>
        </w:tc>
        <w:tc>
          <w:tcPr>
            <w:tcW w:w="7005" w:type="dxa"/>
            <w:noWrap w:val="0"/>
            <w:vAlign w:val="center"/>
          </w:tcPr>
          <w:p w14:paraId="1BCFE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913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0" w:type="dxa"/>
            <w:noWrap w:val="0"/>
            <w:vAlign w:val="center"/>
          </w:tcPr>
          <w:p w14:paraId="754BA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kern w:val="0"/>
                <w:sz w:val="24"/>
                <w:szCs w:val="24"/>
                <w:lang w:val="en-US" w:eastAsia="zh-CN" w:bidi="ar"/>
              </w:rPr>
              <w:t>信用记录查询结果</w:t>
            </w:r>
          </w:p>
        </w:tc>
        <w:tc>
          <w:tcPr>
            <w:tcW w:w="7005" w:type="dxa"/>
            <w:noWrap w:val="0"/>
            <w:vAlign w:val="top"/>
          </w:tcPr>
          <w:p w14:paraId="34ABA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4E9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trPr>
        <w:tc>
          <w:tcPr>
            <w:tcW w:w="0" w:type="auto"/>
            <w:noWrap w:val="0"/>
            <w:vAlign w:val="center"/>
          </w:tcPr>
          <w:p w14:paraId="4CAF3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报价单</w:t>
            </w:r>
          </w:p>
        </w:tc>
        <w:tc>
          <w:tcPr>
            <w:tcW w:w="0" w:type="auto"/>
            <w:noWrap w:val="0"/>
            <w:vAlign w:val="top"/>
          </w:tcPr>
          <w:p w14:paraId="363B7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0"/>
                <w:sz w:val="24"/>
                <w:szCs w:val="24"/>
                <w:lang w:val="en-US" w:eastAsia="zh-CN" w:bidi="ar"/>
              </w:rPr>
              <w:t>　　　</w:t>
            </w:r>
          </w:p>
        </w:tc>
      </w:tr>
    </w:tbl>
    <w:p w14:paraId="4484AA2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一个报价人只能提交一个响应文件。但如果报价人之间存在下列互为关联关系的情形之一的，不得同时参加本项目投标：</w:t>
      </w:r>
    </w:p>
    <w:p w14:paraId="290E68C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法定</w:t>
      </w:r>
      <w:r>
        <w:rPr>
          <w:rFonts w:hint="eastAsia" w:ascii="仿宋_GB2312" w:hAnsi="仿宋_GB2312" w:eastAsia="仿宋_GB2312" w:cs="仿宋_GB2312"/>
          <w:b w:val="0"/>
          <w:bCs w:val="0"/>
          <w:sz w:val="32"/>
          <w:szCs w:val="32"/>
          <w:lang w:eastAsia="zh-CN"/>
        </w:rPr>
        <w:t>代表人为同一人的两个及两个以上法人；</w:t>
      </w:r>
    </w:p>
    <w:p w14:paraId="5FAC81E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w:t>
      </w:r>
      <w:r>
        <w:rPr>
          <w:rFonts w:hint="eastAsia" w:ascii="仿宋_GB2312" w:hAnsi="仿宋_GB2312" w:eastAsia="仿宋_GB2312" w:cs="仿宋_GB2312"/>
          <w:b w:val="0"/>
          <w:bCs w:val="0"/>
          <w:sz w:val="32"/>
          <w:szCs w:val="32"/>
          <w:lang w:val="en-US" w:eastAsia="zh-CN"/>
        </w:rPr>
        <w:t>母公司</w:t>
      </w:r>
      <w:r>
        <w:rPr>
          <w:rFonts w:hint="eastAsia" w:ascii="仿宋_GB2312" w:hAnsi="仿宋_GB2312" w:eastAsia="仿宋_GB2312" w:cs="仿宋_GB2312"/>
          <w:b w:val="0"/>
          <w:bCs w:val="0"/>
          <w:sz w:val="32"/>
          <w:szCs w:val="32"/>
          <w:lang w:eastAsia="zh-CN"/>
        </w:rPr>
        <w:t>与绝对控股子公司；</w:t>
      </w:r>
    </w:p>
    <w:p w14:paraId="5D1E3F9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（3）均为同一法人或自然人直接或间接持股50%及以上的被投资公司。</w:t>
      </w:r>
    </w:p>
    <w:p w14:paraId="6BB5D57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4</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本项目合格供应商若少于</w:t>
      </w:r>
      <w:r>
        <w:rPr>
          <w:rFonts w:hint="eastAsia" w:ascii="仿宋_GB2312" w:hAnsi="仿宋_GB2312" w:eastAsia="仿宋_GB2312" w:cs="仿宋_GB2312"/>
          <w:b w:val="0"/>
          <w:bCs w:val="0"/>
          <w:sz w:val="32"/>
          <w:szCs w:val="32"/>
          <w:lang w:val="en-US" w:eastAsia="zh-CN"/>
        </w:rPr>
        <w:t>3家，按流标处理。</w:t>
      </w:r>
    </w:p>
    <w:p w14:paraId="7FCFA3F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黑体" w:hAnsi="黑体" w:eastAsia="黑体" w:cs="黑体"/>
          <w:b w:val="0"/>
          <w:bCs w:val="0"/>
          <w:sz w:val="32"/>
          <w:szCs w:val="32"/>
          <w:lang w:eastAsia="zh-CN"/>
        </w:rPr>
      </w:pPr>
      <w:r>
        <w:rPr>
          <w:rFonts w:hint="eastAsia" w:ascii="仿宋_GB2312" w:hAnsi="仿宋_GB2312" w:eastAsia="仿宋_GB2312" w:cs="仿宋_GB2312"/>
          <w:b w:val="0"/>
          <w:bCs w:val="0"/>
          <w:sz w:val="32"/>
          <w:szCs w:val="32"/>
          <w:lang w:val="en-US" w:eastAsia="zh-CN"/>
        </w:rPr>
        <w:t>5.本项目</w:t>
      </w:r>
      <w:r>
        <w:rPr>
          <w:rFonts w:hint="eastAsia" w:ascii="仿宋_GB2312" w:hAnsi="仿宋_GB2312" w:eastAsia="仿宋_GB2312" w:cs="仿宋_GB2312"/>
          <w:b w:val="0"/>
          <w:bCs w:val="0"/>
          <w:sz w:val="32"/>
          <w:szCs w:val="32"/>
          <w:lang w:eastAsia="zh-CN"/>
        </w:rPr>
        <w:t>不接受联合体投标。</w:t>
      </w:r>
    </w:p>
    <w:p w14:paraId="5CCE5EF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6.报价人若出现下列情形之一的，按无效报价处理：</w:t>
      </w:r>
    </w:p>
    <w:p w14:paraId="4220CFA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（1）未在规定的时间内递交投标文件；</w:t>
      </w:r>
    </w:p>
    <w:p w14:paraId="06AD2F8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（2）未满足资格标准（未提供正确、有效材料）；</w:t>
      </w:r>
    </w:p>
    <w:p w14:paraId="07E2470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（3）报价超出最高限价；</w:t>
      </w:r>
    </w:p>
    <w:p w14:paraId="3780C53B">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（4）报价人投标文件中承诺的交货期等服务必须满足本文件要求，若报价人的承诺不满足本文件要求或未在响应文件中做出承诺的将被视为未实质性响应本文件要求，视为无效报价。</w:t>
      </w:r>
    </w:p>
    <w:p w14:paraId="3300ED6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四、费用结算</w:t>
      </w:r>
    </w:p>
    <w:p w14:paraId="7DF1918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货物交付完毕并经验收合格后，采购人在收到成交人提交等额增值税普通发票等完整报销材料后30日内转账支付合同价款。</w:t>
      </w:r>
    </w:p>
    <w:p w14:paraId="4BFA779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cs="仿宋_GB2312"/>
          <w:sz w:val="32"/>
          <w:szCs w:val="32"/>
          <w:lang w:val="en-US" w:eastAsia="zh-CN"/>
        </w:rPr>
      </w:pPr>
    </w:p>
    <w:p w14:paraId="7EFC4F81"/>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仿宋_GB2312">
    <w:altName w:val="仿宋-简"/>
    <w:panose1 w:val="02010609030101010101"/>
    <w:charset w:val="00"/>
    <w:family w:val="modern"/>
    <w:pitch w:val="default"/>
    <w:sig w:usb0="00000000" w:usb1="00000000" w:usb2="00000000" w:usb3="00000000" w:csb0="00040000" w:csb1="00000000"/>
  </w:font>
  <w:font w:name="方正小标宋简体">
    <w:altName w:val="书宋-简"/>
    <w:panose1 w:val="03000509000000000000"/>
    <w:charset w:val="00"/>
    <w:family w:val="auto"/>
    <w:pitch w:val="default"/>
    <w:sig w:usb0="00000000" w:usb1="00000000" w:usb2="00000000" w:usb3="00000000" w:csb0="00040000" w:csb1="00000000"/>
  </w:font>
  <w:font w:name="仿宋">
    <w:altName w:val="仿宋-简"/>
    <w:panose1 w:val="02010609060101010101"/>
    <w:charset w:val="00"/>
    <w:family w:val="auto"/>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黑体-简">
    <w:panose1 w:val="02010609060101010101"/>
    <w:charset w:val="86"/>
    <w:family w:val="auto"/>
    <w:pitch w:val="default"/>
    <w:sig w:usb0="A00002BF" w:usb1="3ACF7CFA" w:usb2="00000016" w:usb3="00000000" w:csb0="00040001" w:csb1="00000000"/>
  </w:font>
  <w:font w:name="汉仪旗黑 L3">
    <w:panose1 w:val="00000000000000000000"/>
    <w:charset w:val="86"/>
    <w:family w:val="auto"/>
    <w:pitch w:val="default"/>
    <w:sig w:usb0="A00002BF" w:usb1="1AEF7CFA" w:usb2="00000016" w:usb3="00000000" w:csb0="0004009F" w:csb1="00000000"/>
  </w:font>
  <w:font w:name="Kingsoft Sign">
    <w:panose1 w:val="05050102010706020507"/>
    <w:charset w:val="00"/>
    <w:family w:val="auto"/>
    <w:pitch w:val="default"/>
    <w:sig w:usb0="00000000" w:usb1="1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B6A11"/>
    <w:rsid w:val="7EDB6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仿宋_GB2312" w:hAnsi="仿宋_GB2312" w:eastAsia="仿宋_GB2312" w:cs="Times New Roman"/>
      <w:spacing w:val="0"/>
      <w:kern w:val="2"/>
      <w:sz w:val="32"/>
      <w:lang w:val="en-US" w:eastAsia="zh-CN"/>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Office_12.1.3.26881_F1E327BC-269C-435d-A152-05C5408002CA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2026-07-15T09:21:00Z</dcterms:created>
  <dc:creator>郑大仙</dc:creator>
  <cp:lastModifiedBy>郑大仙</cp:lastModifiedBy>
  <dcterms:modified xsi:type="dcterms:W3CDTF">2026-07-15T09:22:31Z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2052-12.1.3.26881</vt:lpwstr>
  </property>
  <property fmtid="{D5CDD505-2E9C-101B-9397-08002B2CF9AE}" pid="3" name="ICV">
    <vt:lpwstr>3258B286A7DBD24D96E0566AA97AEE25_41</vt:lpwstr>
  </property>
</Properties>
</file>