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150" w:after="150"/>
        <w:jc w:val="left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附件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：</w:t>
      </w:r>
    </w:p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福州市中小学生研学实践教育营地名单</w:t>
      </w:r>
    </w:p>
    <w:p>
      <w:pPr>
        <w:widowControl/>
        <w:shd w:val="clear" w:color="auto" w:fill="FFFFFF"/>
        <w:spacing w:before="150" w:after="150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个，排名不分先后）</w:t>
      </w:r>
      <w:r>
        <w:rPr>
          <w:rFonts w:hint="eastAsia" w:ascii="宋体" w:hAnsi="宋体" w:eastAsia="仿宋_GB2312" w:cs="宋体"/>
          <w:color w:val="333333"/>
          <w:kern w:val="0"/>
          <w:sz w:val="32"/>
          <w:szCs w:val="32"/>
        </w:rPr>
        <w:t> </w:t>
      </w:r>
    </w:p>
    <w:tbl>
      <w:tblPr>
        <w:tblStyle w:val="5"/>
        <w:tblW w:w="0" w:type="auto"/>
        <w:tblInd w:w="4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"/>
        <w:gridCol w:w="4994"/>
        <w:gridCol w:w="1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499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营地名称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  <w:lang w:eastAsia="zh-CN"/>
              </w:rPr>
              <w:t>研学规模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</w:t>
            </w:r>
          </w:p>
        </w:tc>
        <w:tc>
          <w:tcPr>
            <w:tcW w:w="499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幸福庄园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320" w:firstLineChars="100"/>
              <w:jc w:val="left"/>
              <w:textAlignment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1500人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9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2</w:t>
            </w:r>
          </w:p>
        </w:tc>
        <w:tc>
          <w:tcPr>
            <w:tcW w:w="499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罗源畲风红培研学营地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320" w:firstLineChars="100"/>
              <w:jc w:val="both"/>
              <w:textAlignment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800人</w:t>
            </w:r>
          </w:p>
        </w:tc>
      </w:tr>
    </w:tbl>
    <w:p>
      <w:pPr>
        <w:tabs>
          <w:tab w:val="left" w:pos="5325"/>
        </w:tabs>
        <w:jc w:val="left"/>
        <w:rPr>
          <w:rFonts w:hint="eastAsia" w:ascii="黑体" w:hAnsi="黑体" w:eastAsia="黑体"/>
          <w:sz w:val="44"/>
          <w:szCs w:val="44"/>
          <w:lang w:eastAsia="zh-CN"/>
        </w:rPr>
      </w:pPr>
    </w:p>
    <w:p>
      <w:pPr>
        <w:widowControl/>
        <w:shd w:val="clear" w:color="auto" w:fill="FFFFFF"/>
        <w:spacing w:before="150" w:after="150"/>
        <w:jc w:val="center"/>
        <w:rPr>
          <w:rFonts w:hint="eastAsia" w:ascii="黑体" w:hAnsi="黑体" w:eastAsia="黑体"/>
          <w:sz w:val="36"/>
          <w:szCs w:val="36"/>
        </w:rPr>
      </w:pPr>
    </w:p>
    <w:p>
      <w:pPr>
        <w:widowControl/>
        <w:shd w:val="clear" w:color="auto" w:fill="FFFFFF"/>
        <w:spacing w:before="150" w:after="150"/>
        <w:jc w:val="center"/>
        <w:rPr>
          <w:rFonts w:hint="eastAsia" w:ascii="黑体" w:hAnsi="黑体" w:eastAsia="黑体"/>
          <w:sz w:val="36"/>
          <w:szCs w:val="36"/>
        </w:rPr>
      </w:pPr>
    </w:p>
    <w:p>
      <w:pPr>
        <w:widowControl/>
        <w:shd w:val="clear" w:color="auto" w:fill="FFFFFF"/>
        <w:spacing w:before="150" w:after="150"/>
        <w:jc w:val="center"/>
        <w:rPr>
          <w:rFonts w:hint="eastAsia" w:ascii="黑体" w:hAnsi="黑体" w:eastAsia="黑体"/>
          <w:sz w:val="36"/>
          <w:szCs w:val="36"/>
        </w:rPr>
      </w:pPr>
    </w:p>
    <w:p>
      <w:pPr>
        <w:widowControl/>
        <w:shd w:val="clear" w:color="auto" w:fill="FFFFFF"/>
        <w:spacing w:before="150" w:after="150"/>
        <w:jc w:val="center"/>
        <w:rPr>
          <w:rFonts w:hint="eastAsia" w:ascii="黑体" w:hAnsi="黑体" w:eastAsia="黑体"/>
          <w:sz w:val="36"/>
          <w:szCs w:val="36"/>
        </w:rPr>
      </w:pPr>
    </w:p>
    <w:p>
      <w:pPr>
        <w:widowControl/>
        <w:shd w:val="clear" w:color="auto" w:fill="FFFFFF"/>
        <w:spacing w:before="150" w:after="150"/>
        <w:jc w:val="center"/>
        <w:rPr>
          <w:rFonts w:hint="eastAsia" w:ascii="黑体" w:hAnsi="黑体" w:eastAsia="黑体"/>
          <w:sz w:val="36"/>
          <w:szCs w:val="36"/>
        </w:rPr>
      </w:pPr>
    </w:p>
    <w:p>
      <w:pPr>
        <w:widowControl/>
        <w:shd w:val="clear" w:color="auto" w:fill="FFFFFF"/>
        <w:spacing w:before="150" w:after="150"/>
        <w:jc w:val="center"/>
        <w:rPr>
          <w:rFonts w:hint="eastAsia" w:ascii="黑体" w:hAnsi="黑体" w:eastAsia="黑体"/>
          <w:sz w:val="36"/>
          <w:szCs w:val="36"/>
        </w:rPr>
      </w:pPr>
    </w:p>
    <w:p>
      <w:pPr>
        <w:widowControl/>
        <w:shd w:val="clear" w:color="auto" w:fill="FFFFFF"/>
        <w:spacing w:before="150" w:after="150"/>
        <w:jc w:val="center"/>
        <w:rPr>
          <w:rFonts w:hint="eastAsia" w:ascii="黑体" w:hAnsi="黑体" w:eastAsia="黑体"/>
          <w:sz w:val="36"/>
          <w:szCs w:val="36"/>
        </w:rPr>
      </w:pPr>
    </w:p>
    <w:p>
      <w:pPr>
        <w:widowControl/>
        <w:shd w:val="clear" w:color="auto" w:fill="FFFFFF"/>
        <w:spacing w:before="150" w:after="150"/>
        <w:jc w:val="center"/>
        <w:rPr>
          <w:rFonts w:hint="eastAsia" w:ascii="黑体" w:hAnsi="黑体" w:eastAsia="黑体"/>
          <w:sz w:val="36"/>
          <w:szCs w:val="36"/>
        </w:rPr>
      </w:pPr>
    </w:p>
    <w:p>
      <w:pPr>
        <w:widowControl/>
        <w:shd w:val="clear" w:color="auto" w:fill="FFFFFF"/>
        <w:spacing w:before="150" w:after="150"/>
        <w:jc w:val="center"/>
        <w:rPr>
          <w:rFonts w:hint="eastAsia" w:ascii="黑体" w:hAnsi="黑体" w:eastAsia="黑体"/>
          <w:sz w:val="36"/>
          <w:szCs w:val="36"/>
        </w:rPr>
      </w:pPr>
    </w:p>
    <w:p>
      <w:pPr>
        <w:widowControl/>
        <w:shd w:val="clear" w:color="auto" w:fill="FFFFFF"/>
        <w:spacing w:before="150" w:after="150"/>
        <w:jc w:val="left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</w:p>
    <w:p>
      <w:pPr>
        <w:widowControl/>
        <w:shd w:val="clear" w:color="auto" w:fill="FFFFFF"/>
        <w:spacing w:before="150" w:after="150"/>
        <w:jc w:val="left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</w:p>
    <w:p>
      <w:pPr>
        <w:widowControl/>
        <w:shd w:val="clear" w:color="auto" w:fill="FFFFFF"/>
        <w:spacing w:before="150" w:after="150"/>
        <w:jc w:val="left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</w:p>
    <w:p>
      <w:pPr>
        <w:widowControl/>
        <w:shd w:val="clear" w:color="auto" w:fill="FFFFFF"/>
        <w:spacing w:before="150" w:after="150"/>
        <w:jc w:val="left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附件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2</w:t>
      </w:r>
    </w:p>
    <w:p>
      <w:pPr>
        <w:widowControl/>
        <w:shd w:val="clear" w:color="auto" w:fill="FFFFFF"/>
        <w:spacing w:before="150" w:after="150"/>
        <w:ind w:firstLine="1080" w:firstLineChars="300"/>
        <w:jc w:val="both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福州市中小学生研学实践教育基地名单</w:t>
      </w:r>
    </w:p>
    <w:p>
      <w:pPr>
        <w:widowControl/>
        <w:shd w:val="clear" w:color="auto" w:fill="FFFFFF"/>
        <w:spacing w:before="150" w:after="150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13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个，排名不分先后）</w:t>
      </w:r>
      <w:r>
        <w:rPr>
          <w:rFonts w:hint="eastAsia" w:ascii="宋体" w:hAnsi="宋体" w:eastAsia="仿宋_GB2312" w:cs="宋体"/>
          <w:color w:val="333333"/>
          <w:kern w:val="0"/>
          <w:sz w:val="32"/>
          <w:szCs w:val="32"/>
        </w:rPr>
        <w:t> </w:t>
      </w:r>
    </w:p>
    <w:tbl>
      <w:tblPr>
        <w:tblStyle w:val="5"/>
        <w:tblpPr w:leftFromText="180" w:rightFromText="180" w:vertAnchor="text" w:horzAnchor="page" w:tblpX="2003" w:tblpY="54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7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721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基地名称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214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鼓岭（鼓山）旅游景区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214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商务印书馆福州分馆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7214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永阳文化中心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214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职工三创匠心传承（闽台）研学基地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7214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上下杭历史文化街区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7214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吴孟超院士馆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7214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福州新店古城遗址公园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7214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海峡妇女儿童活动中心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7214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福州广电研学基地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7214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闽越水镇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7214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福建永鸿野生动物世界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7214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贵安温泉研学实践教育基地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3</w:t>
            </w:r>
          </w:p>
        </w:tc>
        <w:tc>
          <w:tcPr>
            <w:tcW w:w="7214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福建爹地宝贝工业文化研学实践教育基地</w:t>
            </w:r>
          </w:p>
        </w:tc>
      </w:tr>
    </w:tbl>
    <w:p>
      <w:pPr>
        <w:jc w:val="center"/>
        <w:rPr>
          <w:rFonts w:ascii="黑体" w:hAnsi="黑体" w:eastAsia="黑体"/>
          <w:sz w:val="44"/>
          <w:szCs w:val="44"/>
        </w:rPr>
      </w:pPr>
    </w:p>
    <w:p>
      <w:pPr>
        <w:jc w:val="center"/>
        <w:rPr>
          <w:rFonts w:ascii="黑体" w:hAnsi="黑体" w:eastAsia="黑体"/>
          <w:sz w:val="44"/>
          <w:szCs w:val="44"/>
        </w:rPr>
      </w:pPr>
    </w:p>
    <w:p/>
    <w:p/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  <w:ind w:left="0" w:leftChars="0" w:firstLine="0" w:firstLineChars="0"/>
      </w:pPr>
    </w:p>
    <w:p>
      <w:pPr>
        <w:widowControl/>
        <w:shd w:val="clear" w:color="auto" w:fill="FFFFFF"/>
        <w:spacing w:before="150" w:after="150"/>
        <w:jc w:val="left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附件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：</w:t>
      </w:r>
    </w:p>
    <w:p>
      <w:pPr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  <w:lang w:val="en-US" w:eastAsia="zh-CN"/>
        </w:rPr>
        <w:t>福州市学生军事训练基地</w:t>
      </w:r>
      <w:r>
        <w:rPr>
          <w:rFonts w:hint="eastAsia" w:ascii="黑体" w:hAnsi="黑体" w:eastAsia="黑体"/>
          <w:sz w:val="36"/>
          <w:szCs w:val="36"/>
        </w:rPr>
        <w:t>名单</w:t>
      </w:r>
    </w:p>
    <w:p>
      <w:pPr>
        <w:pStyle w:val="2"/>
      </w:pPr>
    </w:p>
    <w:tbl>
      <w:tblPr>
        <w:tblStyle w:val="5"/>
        <w:tblW w:w="0" w:type="auto"/>
        <w:tblInd w:w="4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5101"/>
        <w:gridCol w:w="1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510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  <w:lang w:eastAsia="zh-CN"/>
              </w:rPr>
              <w:t>基</w:t>
            </w: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地名称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  <w:lang w:eastAsia="zh-CN"/>
              </w:rPr>
              <w:t>实践规模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87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</w:t>
            </w:r>
          </w:p>
        </w:tc>
        <w:tc>
          <w:tcPr>
            <w:tcW w:w="510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left="0" w:leftChars="0" w:firstLine="0" w:firstLineChars="0"/>
              <w:jc w:val="both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厦门出入境边防检查总站轮训大队</w:t>
            </w:r>
          </w:p>
        </w:tc>
        <w:tc>
          <w:tcPr>
            <w:tcW w:w="191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960人</w:t>
            </w:r>
          </w:p>
        </w:tc>
      </w:tr>
    </w:tbl>
    <w:p>
      <w:pPr>
        <w:tabs>
          <w:tab w:val="left" w:pos="5325"/>
        </w:tabs>
        <w:jc w:val="left"/>
        <w:rPr>
          <w:rFonts w:hint="eastAsia" w:ascii="黑体" w:hAnsi="黑体" w:eastAsia="黑体"/>
          <w:sz w:val="44"/>
          <w:szCs w:val="44"/>
          <w:lang w:eastAsia="zh-CN"/>
        </w:rPr>
      </w:pPr>
    </w:p>
    <w:p>
      <w:pPr>
        <w:pStyle w:val="2"/>
        <w:rPr>
          <w:rFonts w:hint="eastAsia" w:eastAsia="宋体"/>
          <w:lang w:eastAsia="zh-CN"/>
        </w:rPr>
      </w:pPr>
    </w:p>
    <w:p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2C770D"/>
    <w:rsid w:val="342C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pacing w:after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Calibri" w:hAnsi="Calibri" w:eastAsia="宋体"/>
      <w:kern w:val="0"/>
      <w:sz w:val="20"/>
      <w:szCs w:val="20"/>
    </w:rPr>
  </w:style>
  <w:style w:type="paragraph" w:styleId="3">
    <w:name w:val="Body Text"/>
    <w:basedOn w:val="1"/>
    <w:qFormat/>
    <w:uiPriority w:val="0"/>
    <w:pPr>
      <w:spacing w:after="120"/>
    </w:pPr>
  </w:style>
  <w:style w:type="table" w:styleId="5">
    <w:name w:val="Table Grid"/>
    <w:basedOn w:val="4"/>
    <w:qFormat/>
    <w:uiPriority w:val="0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2021-10-03T00:39:00Z</dcterms:created>
  <dc:creator>Zwei</dc:creator>
  <cp:lastModifiedBy>Zwei</cp:lastModifiedBy>
  <dcterms:modified xsi:type="dcterms:W3CDTF">2021-10-03T00:40:09Z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2519549710374F6F8BDB72C1EF07C9C7</vt:lpwstr>
  </property>
</Properties>
</file>