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6"/>
          <w:szCs w:val="36"/>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bookmarkStart w:id="0" w:name="_GoBack"/>
      <w:bookmarkEnd w:id="0"/>
    </w:p>
    <w:p>
      <w:pPr>
        <w:snapToGrid w:val="0"/>
        <w:jc w:val="center"/>
        <w:rPr>
          <w:rFonts w:ascii="方正小标宋简体" w:eastAsia="方正小标宋简体"/>
          <w:sz w:val="44"/>
          <w:szCs w:val="44"/>
        </w:rPr>
      </w:pPr>
      <w:r>
        <w:rPr>
          <w:rFonts w:hint="eastAsia" w:ascii="方正小标宋简体" w:eastAsia="方正小标宋简体"/>
          <w:sz w:val="44"/>
          <w:szCs w:val="44"/>
          <w:lang w:val="en-US" w:eastAsia="zh-CN"/>
        </w:rPr>
        <w:t>2025</w:t>
      </w:r>
      <w:r>
        <w:rPr>
          <w:rFonts w:hint="eastAsia" w:ascii="方正小标宋简体" w:eastAsia="方正小标宋简体"/>
          <w:sz w:val="44"/>
          <w:szCs w:val="44"/>
        </w:rPr>
        <w:t>年度</w:t>
      </w:r>
      <w:r>
        <w:rPr>
          <w:rFonts w:hint="eastAsia" w:ascii="方正小标宋简体" w:eastAsia="方正小标宋简体"/>
          <w:sz w:val="44"/>
          <w:szCs w:val="44"/>
          <w:lang w:eastAsia="zh-CN"/>
        </w:rPr>
        <w:t>福州</w:t>
      </w:r>
      <w:r>
        <w:rPr>
          <w:rFonts w:hint="eastAsia" w:ascii="方正小标宋简体" w:eastAsia="方正小标宋简体"/>
          <w:sz w:val="44"/>
          <w:szCs w:val="44"/>
        </w:rPr>
        <w:t>市</w:t>
      </w:r>
      <w:r>
        <w:rPr>
          <w:rFonts w:hint="eastAsia" w:ascii="方正小标宋简体" w:eastAsia="方正小标宋简体"/>
          <w:sz w:val="44"/>
          <w:szCs w:val="44"/>
          <w:lang w:eastAsia="zh-CN"/>
        </w:rPr>
        <w:t>本级</w:t>
      </w:r>
      <w:r>
        <w:rPr>
          <w:rFonts w:hint="eastAsia" w:ascii="方正小标宋简体" w:eastAsia="方正小标宋简体"/>
          <w:sz w:val="44"/>
          <w:szCs w:val="44"/>
        </w:rPr>
        <w:t>政府预算</w:t>
      </w:r>
    </w:p>
    <w:p>
      <w:pPr>
        <w:snapToGrid w:val="0"/>
        <w:spacing w:after="312" w:afterLines="100"/>
        <w:jc w:val="center"/>
        <w:rPr>
          <w:rFonts w:ascii="方正小标宋简体" w:eastAsia="方正小标宋简体"/>
          <w:sz w:val="44"/>
          <w:szCs w:val="44"/>
        </w:rPr>
      </w:pPr>
      <w:r>
        <w:rPr>
          <w:rFonts w:hint="eastAsia" w:ascii="方正小标宋简体" w:eastAsia="方正小标宋简体"/>
          <w:sz w:val="44"/>
          <w:szCs w:val="44"/>
        </w:rPr>
        <w:t>相关重要事项说明</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cs="Arial"/>
          <w:kern w:val="0"/>
          <w:sz w:val="32"/>
          <w:szCs w:val="32"/>
          <w:lang w:eastAsia="zh-CN"/>
        </w:rPr>
        <w:t>市</w:t>
      </w:r>
      <w:r>
        <w:rPr>
          <w:rFonts w:hint="eastAsia" w:ascii="黑体" w:hAnsi="黑体" w:eastAsia="黑体" w:cs="Arial"/>
          <w:kern w:val="0"/>
          <w:sz w:val="32"/>
          <w:szCs w:val="32"/>
        </w:rPr>
        <w:t>本级支出预算说明</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2025年度福州市本级一般公共预算支出预算数为2419011万元，比2024年度预算数增加130253万元，增长5.7%。具体情况如下：</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(一)一般公共服务支出180789万元，较2024年预算数减少4385万元,下降2.4%。其中：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1.人大事务4829万元，较2024年预算数增加84万元,增长1.8%。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2.政协事务3946万元，较2024年预算数增加541万元,增长15.9%。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3.政府办公厅(室)及相关机构事务29386万元，较2024年预算数增加139万元,增长0.5%。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4.发展与改革事务11582万元，较2024年预算数减少7195万元,下降38.3%。主要是总部经济政策减支。</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5.统计信息事务2378万元，较2024年预算数增加74万元,增长3.2%。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6.财政事务4855万元，较2024年预算数增加211万元,增长4.5%。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7.税收事务8000万元，较2024年预算数减少500万元,下降5.9%。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8.审计事务2641万元，较2024年预算数增加163万元,增长6.6%。</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9.纪检监察事务11720万元，较2024年预算数增加211万元,增长1.8%。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10.商贸事务8545万元，较2024年预算数增加913万元,增长12%。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11.知识产权事务1598万元，较2024年预算数减少193万元,下降10.8%。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12.民族事务186万元，较2024年预算数增加27万元,增长17%。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13.港澳台事务3410万元，较2024年预算数增加70万元,增长2.1%。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14.档案事务855万元，较2024年预算数减少27万元,下降3.1%。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15.民主党派及工商联事务3158万元，较2024年预算数增加15万元,增长0.5%。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16.群众团体事务5650万元，较2024年预算数增加318万元,增长6%。</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17.党委办公厅(室)及相关机构事务9252万元，较2024年预算数增加341万元,增长3.8%。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18.组织事务7222万元，较2024年预算数减少546万元,下降7%。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19.宣传事务3610万元，较2024年预算数增加685万元,增长23.4%。</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20.统战事务6114万元，较2024年预算数减少205万元,下降3.2%。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21.市场监督管理事务12120万元，较2024年预算数减少635万元,下降5%。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22.其他一般公共服务支出39732万元，较2024年预算数增加1124万元,增长2.9%。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(二)公共安全支出215654万元，较2024年预算数增加1189万元,增长0.6%。其中：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1.公安202861万元，较2024年预算数增加1200万元,增长0.6%。</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2.法院80万元，与2024年持平。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3.司法8723万元，较2024年预算数增加33万元,增长0.4%。</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(三)教育支出386536万元，较2024年预算数增加23020万元,增长6.3%。教育支出增长符合两个“只增不减”要求。</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1.教育管理事务11092万元，较2024年预算数增加4224万元,增长61.5%。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2.普通教育251715万元，较2024年预算数增加21503万元,增长9.3%。</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3.职业教育76005万元，较2024年预算数增加2001万元,增长2.7%。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4.广播电视教育56万元，与2024年持平。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5.特殊教育7041万元，较2024年预算数增加3449万元,增长96%。部分项目由残疾人事业科目转列特殊教育科目。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6.进修及培训5884万元，较2024年预算数减少1400万元,下降19.2%。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7.教育费附加安排的支出28007万元，较2024年预算数减少3993万元,下降12.5%。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8.其他教育支出6737万元，较2024年预算数减少2763万元,下降29.1%。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(四)科学技术支出81306万元，较2024年预算数增加10639万元,增长15.1%。主要是增排福州大学校地合作项目。其中：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1.科学技术管理事务1378万元，较2024年预算数增加78万元,增长6%。</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2.应用研究2322万元，较2024年预算数减少34万元,下降1.4%。</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3.技术研究与开发9200万元，较2024年预算数增加1500万元,增长19.5%。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4.科技条件与服务18722万元，较2024年预算数减少1482万元,下降7.3%。</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5.社会科学1012万元，较2024年预算数增加28万元,增长2.8%。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6.科学技术普及2602万元，较2024年预算数增加349万元,增长15.5%。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7.科技交流与合作20000万元，较2024年预算数增加17000万元,增长566.7%。增排福州大学校地合作项目。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8.其他科学技术支出26070万元，较2024年预算数减少6800万元,下降20.7%。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(五)文化旅游体育与传媒支出46014万元，较2024年预算数减少2028万元,下降4.2%。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1.文化和旅游29110万元，较2024年预算数减少3775万元,下降11.5%。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2.文物6032万元，较2024年预算数增加108万元,增长1.8%。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3.体育6411万元，较2024年预算数增加514万元,增长8.7%。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4.新闻出版电影146万元，与2024年持平。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5.广播电视1816万元，较2024年预算数增加1516万元,增长505.3%。福州电视台扶持及二期建设贴息由国本转列一般公共预算。</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6.其他文化旅游体育与传媒支出2500万元，较2024年预算数减少390万元,下降13.5%。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(六)社会保障和就业支出393099万元，较2024年预算数减少3746万元,下降0.9%。其中：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1.人力资源和社会保障管理事务23806万元，较2024年预算数减少15355万元,下降39.2%。部分项目由人力资源和社会保障管理事务科目转列就业补助科目。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2.民政管理事务1798万元，较2024年预算数减少146万元,下降7.5%。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3.行政事业单位养老支出248062万元，较2024年预算数减少322万元,下降0.1%。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4.企业改革补助285万元，与2024年持平。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5.就业补助18184万元，较2024年预算数增加17011万元,增长1450.2%。部分项目由人力资源和社会保障管理事务科目转列就业补助科目。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6.抚恤653万元，较2024年预算数增加237万元,增长57%。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7.退役安置55475万元，较2024年预算数减少306万元,下降0.5%。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8.社会福利12319万元，较2024年预算数减少4785万元,下降28%。主要是福州市社会福利院综合提升改造项目已基本完成，相应减排预算。</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9.残疾人事业1194万元，较2024年预算数减少2187万元,下降64.7%。部分项目由残疾人事业科目转列特殊教育科目。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10.红十字事业458万元，较2024年预算数增加107万元,增长30.5%。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11.临时救助702万元，较2024年预算数减少63万元,下降8.2%。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12.财政对基本养老保险基金的补助7620万元，较2024年预算数增加5720万元,增长301.1%。部分项目由其他社会保障和就业支出科目转列财政对基本养老保险基金的补助科目。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13.退役军人管理事务3143万元，较2024年预算数增加1502万元,增长91.5%。新增祥谦纪念馆布展等改造提升项目。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14.其他社会保障和就业支出19400万元，较2024年预算数减少5159万元,下降21%。部分项目由其他社会保障和就业支出科目转列财政对基本养老保险基金的补助科目。</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七)卫生健康支出328638万元，较2024年预算数增加107108万元,增长48.3%。主要是省级提前下达重大公共卫生服务补助资金增加以及城乡居民基本医疗保险资金实行市级统筹，省级提前下达的相关补助，不下达县区，由市级统一列支。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1.卫生健康管理事务2105万元，较2024年预算数减少32万元,下降1.5%。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2.公立医院55265万元，较2024年预算数增加1003万元,增长1.8%。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3.公共卫生13711万元，较2024年预算数增加5112万元,增长59.4%。主要是省级提前下达重大公共卫生服务补助资金增加。</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4.计划生育事务1116万元，较2024年预算数增加2万元,增长0.2%。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5.行政事业单位医疗19683万元，较2024年预算数减少3805万元,下降16.2%。主要是减排行政事业单位离休、保健对象医疗经费，根据实际需求安排。</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6.财政对基本医疗保险基金的补助208781万元，较2024年预算数增加106628万元,增长104.4%。主要是城乡居民基本医疗保险资金实行市级统筹，省级提前下达的相关补助，不下达县区，由市级统一列支。</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7.医疗救助7729万元，较2024年预算数减少3632万元,下降32%。主要是省级提前下达医疗救助补助资金减少。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8.医疗保障管理事务8253万元，较2024年预算数减少264万元,下降3.1%。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9.老龄卫生健康事务0万元，较2024年预算数减少50万元,下降100%。</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10.中医药事务949万元，较2024年预算数增加590万元,增长164.3%。主要是省级提前下达医疗服务能力提升专项资金增加。</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11.疾病预防控制事务9万元，较2024年预算数增加9万元,增长100%。</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12.其他卫生健康支出11036万元，较2024年预算数增加1546万元,增长16.3%。</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(八)节能环保支出63394万元，较2024年预算数增加21245万元,增长50.4%。主要是新增省级提前下达城市管网及污水处理补助资金。其中：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1.环境保护管理事务8382万元，较2024年预算数减少142万元,下降1.7%。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2.环境监测与监察10312万元，较2024年预算数增加187万元,增长1.8%。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3.污染防治24700万元，较2024年预算数增加1200万元,增长5.1%。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4.其他节能环保支出20000万元，较2024年预算数增加20000万元,增长100%。主要是新增省级提前下达城市管网及污水处理补助资金。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(九)城乡社区支出87450万元，较2024年预算数增加14399万元,增长19.7%。主要是新增盘活存量资产经费，以及市政路灯电费转列一般公共预算，上年安排在基金。其中：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1.城乡社区管理事务27828万元，较2024年预算数减少763万元,下降2.7%。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2.城乡社区公共设施13371万元，较2024年预算数增加665万元,增长5.2%。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3.城乡社区环境卫生29035万元，较2024年预算数减少686万元,下降2.3%。</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4.其他城乡社区支出17216万元，较2024年预算数增加15183万元,增长746.8%。主要是新增盘活存量资产经费，以及市政路灯电费转列一般公共预算，上年安排在基金。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(十)农林水支出47859万元，较2024年预算数减少32720万元,下降40.6%。主要是省级提前下达的渔业发展资金和水利发展资金减少。其中：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1.农业农村31639万元，较2024年预算数减少28276万元,下降47.2%。主要是省级提前下达渔业发展资金减少。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2.林业和草原6107万元，较2024年预算数减少87万元,下降1.4%。</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3.水利8008万元，较2024年预算数减少3830万元,下降32.4%。主要是省级提前下达水利发展资金减少。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4.巩固脱贫衔接乡村振兴105万元，较2024年预算数增加3万元,增长2.9%。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5.普惠金融发展支出500万元，与2024年持平。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6.其他农林水支出1500万元，较2024年预算数减少530万元,下降26.1%。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(十一)交通运输支出169589万元，较2024年预算数增加3286万元,增长2%。其中：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1.公路水路运输25210万元，较2024年预算数增加2316万元,增长10.1%。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2.民用航空运输30000万元，与2024年持平。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3.邮政业支出350万元，与2024年持平。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4.其他交通运输支出114029万元，较2024年预算数增加970万元,增长0.9%。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(十二)资源勘探工业信息等支出20187万元，较2024年预算数增加6769万元,增长50.4%。主要是增排产业升级与数字化转型专项，以及对下转移支付减少。其中：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1.制造业836万元，较2024年预算数减少1350万元,下降61.8%。主要是扶持传统工艺美术保护发展专项对下转移支付增加。</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2.国有资产监管1071万元，较2024年预算数增加49万元,增长4.8%。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3.支持中小企业发展和管理支出18280万元，较2024年预算数增加8070万元,增长79%。主要是增排产业升级与数字化转型专项，以及对下转移支付减少。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(十三)商业服务业等支出23408万元，较2024年预算数增加9996万元,增长74.5%。主要是新增省级提前下达消费品以旧换新省级配套资金。其中：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1.商业流通事务6166万元，较2024年预算数增加3851万元,增长166.3%。主要是商务发展资金（内贸)对下转移支付减少。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2.涉外发展服务支出10473万元，较2024年预算数增加1593万元,增长17.9%。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3.其他商业服务业等支出6769万元，较2024年预算数增加4552万元,增长205.3%。主要是新增省级提前下达消费品以旧换新省级配套资金。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(十四)金融支出2500万元，与2024年持平。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金融发展支出2500万元，与2024年持平。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(十五)援助其他地区支出19672万元，较2024年预算数增加7816万元,增长65.9%。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其他支出19672万元，较2024年预算数增加7816万元,增长65.9%。主要是新增新时代山海协作帮扶专项资金。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(十六)自然资源海洋气象等支出11522万元，较2024年预算数减少15023万元,下降56.6%。主要是省级提前下达海洋生态保护修复资金减少。其中：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1.自然资源事务4973万元，较2024年预算数减少17325万元,下降77.7%。主要是省级提前下达海洋生态保护修复资金减少。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2.气象事务2350万元，较2024年预算数减少97万元,下降4%。</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3.其他自然资源海洋气象等支出4200万元，较2024年预算数增加2400万元,增长133.3%。主要是增排自然资源领域规划设计经费。</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(十七)住房保障支出116746万元，较2024年预算数增加1945万元,增长1.7%。其中：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1.保障性安居工程支出5501万元，较2024年预算数减少310万元,下降5.3%。</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2.住房改革支出109595万元，较2024年预算数增加2292万元,增长2.1%。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3.城乡社区住宅1650万元，较2024年预算数减少37万元,下降2.2%。</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(十八)粮油物资储备支出12135万元，较2024年预算数减少269万元,下降2.2%。其中：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1.粮油物资事务5639万元，较2024年预算数减少269万元,下降4.6%。</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2.粮油储备6266万元，与2024年持平。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3.重要商品储备230万元，与2024年持平。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(十九)灾害防治及应急管理支出16952万元，较2024年预算数减少217万元,下降1.3%。其中：</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1.应急管理事务3257万元，较2024年预算数增加166万元,增长5.4%。</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2.消防救援事务12302万元，较2024年预算数减少127万元,下降1%。</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3.地震事务808万元，较2024年预算数增加59万元,增长7.9%。</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4.自然灾害防治185万元，较2024年预算数减少315万元,下降63%。</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5.自然灾害救灾及恢复重建支出400万元，与2024年持平。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(二十)预备费30000万元，与2024年持平。</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(二十一)其他支出103880万元，较2024年预算数减少11149万元,下降9.7%。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其他支出103880万元，较2024年预算数减少11149万元,下降9.7%。</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(二十二)债务付息支出58000万元，较2024年预算数减少7000万元,下降10.8%。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地方政府一般债务付息支出58000万元，较2024年预算数减少7000万元,下降10.8%。</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(二十三)债务发行费用支出150万元，较2024年预算数减少250万元,下降62.5%。</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地方政府一般债务发行费用支出150万元，较2024年预算数减少250万元,下降62.5%。</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二、财政转移支付安排情况</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2025</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福州</w:t>
      </w:r>
      <w:r>
        <w:rPr>
          <w:rFonts w:hint="eastAsia" w:ascii="仿宋" w:hAnsi="仿宋" w:eastAsia="仿宋" w:cs="Arial"/>
          <w:kern w:val="0"/>
          <w:sz w:val="32"/>
          <w:szCs w:val="32"/>
        </w:rPr>
        <w:t>市对下税收返还和转移支付预算数为</w:t>
      </w:r>
      <w:r>
        <w:rPr>
          <w:rFonts w:hint="eastAsia" w:ascii="仿宋" w:hAnsi="仿宋" w:eastAsia="仿宋" w:cs="Arial"/>
          <w:kern w:val="0"/>
          <w:sz w:val="32"/>
          <w:szCs w:val="32"/>
          <w:lang w:val="en-US" w:eastAsia="zh-CN"/>
        </w:rPr>
        <w:t>533674.5</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2024</w:t>
      </w:r>
      <w:r>
        <w:rPr>
          <w:rFonts w:hint="eastAsia" w:ascii="仿宋" w:hAnsi="仿宋" w:eastAsia="仿宋" w:cs="Arial"/>
          <w:kern w:val="0"/>
          <w:sz w:val="32"/>
          <w:szCs w:val="32"/>
        </w:rPr>
        <w:t>年度预算数</w:t>
      </w:r>
      <w:r>
        <w:rPr>
          <w:rFonts w:hint="eastAsia" w:ascii="仿宋" w:hAnsi="仿宋" w:eastAsia="仿宋"/>
          <w:kern w:val="0"/>
          <w:sz w:val="32"/>
          <w:szCs w:val="32"/>
        </w:rPr>
        <w:t>减少</w:t>
      </w:r>
      <w:r>
        <w:rPr>
          <w:rFonts w:hint="eastAsia" w:ascii="仿宋" w:hAnsi="仿宋" w:eastAsia="仿宋"/>
          <w:kern w:val="0"/>
          <w:sz w:val="32"/>
          <w:szCs w:val="32"/>
          <w:lang w:val="en-US" w:eastAsia="zh-CN"/>
        </w:rPr>
        <w:t>80342.5</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13.1</w:t>
      </w:r>
      <w:r>
        <w:rPr>
          <w:rFonts w:hint="eastAsia" w:ascii="仿宋" w:hAnsi="仿宋" w:eastAsia="仿宋"/>
          <w:kern w:val="0"/>
          <w:sz w:val="32"/>
          <w:szCs w:val="32"/>
        </w:rPr>
        <w:t>%</w:t>
      </w:r>
      <w:r>
        <w:rPr>
          <w:rFonts w:hint="eastAsia" w:ascii="仿宋" w:hAnsi="仿宋" w:eastAsia="仿宋" w:cs="Arial"/>
          <w:kern w:val="0"/>
          <w:sz w:val="32"/>
          <w:szCs w:val="32"/>
        </w:rPr>
        <w:t>。</w:t>
      </w:r>
      <w:r>
        <w:rPr>
          <w:rFonts w:hint="eastAsia" w:ascii="仿宋" w:hAnsi="仿宋" w:eastAsia="仿宋" w:cs="Arial"/>
          <w:color w:val="000000"/>
          <w:kern w:val="0"/>
          <w:sz w:val="32"/>
          <w:szCs w:val="32"/>
          <w:lang w:val="en-US" w:eastAsia="zh-CN"/>
        </w:rPr>
        <w:t>主要原因是</w:t>
      </w:r>
      <w:r>
        <w:rPr>
          <w:rFonts w:hint="eastAsia" w:ascii="仿宋" w:hAnsi="仿宋" w:eastAsia="仿宋" w:cs="Arial"/>
          <w:kern w:val="0"/>
          <w:sz w:val="32"/>
          <w:szCs w:val="32"/>
          <w:lang w:val="en-US" w:eastAsia="zh-CN"/>
        </w:rPr>
        <w:t>城乡居民基本医疗保险资金实行市级统筹，省级提前下达的相关补助，不下达县区，由市级统一列支</w:t>
      </w:r>
      <w:r>
        <w:rPr>
          <w:rFonts w:hint="eastAsia" w:ascii="仿宋" w:hAnsi="仿宋" w:eastAsia="仿宋" w:cs="Arial"/>
          <w:color w:val="000000"/>
          <w:kern w:val="0"/>
          <w:sz w:val="32"/>
          <w:szCs w:val="32"/>
        </w:rPr>
        <w:t>。</w:t>
      </w:r>
      <w:r>
        <w:rPr>
          <w:rFonts w:hint="eastAsia" w:ascii="仿宋" w:hAnsi="仿宋" w:eastAsia="仿宋" w:cs="Arial"/>
          <w:kern w:val="0"/>
          <w:sz w:val="32"/>
          <w:szCs w:val="32"/>
        </w:rPr>
        <w:t>具体情况如下：</w:t>
      </w:r>
    </w:p>
    <w:p>
      <w:pPr>
        <w:spacing w:line="600" w:lineRule="exact"/>
        <w:ind w:firstLine="640" w:firstLineChars="200"/>
        <w:rPr>
          <w:rStyle w:val="11"/>
          <w:rFonts w:ascii="楷体" w:hAnsi="楷体" w:eastAsia="楷体" w:cs="Arial"/>
          <w:kern w:val="0"/>
          <w:sz w:val="32"/>
          <w:szCs w:val="32"/>
        </w:rPr>
      </w:pPr>
      <w:r>
        <w:rPr>
          <w:rFonts w:hint="eastAsia" w:ascii="楷体" w:hAnsi="楷体" w:eastAsia="楷体" w:cs="Arial"/>
          <w:kern w:val="0"/>
          <w:sz w:val="32"/>
          <w:szCs w:val="32"/>
        </w:rPr>
        <w:t>（一）</w:t>
      </w:r>
      <w:r>
        <w:rPr>
          <w:rStyle w:val="11"/>
          <w:rFonts w:hint="eastAsia" w:ascii="楷体" w:hAnsi="楷体" w:eastAsia="楷体" w:cs="Arial"/>
          <w:b w:val="0"/>
          <w:kern w:val="0"/>
          <w:sz w:val="32"/>
          <w:szCs w:val="32"/>
        </w:rPr>
        <w:t>税收返还</w:t>
      </w:r>
    </w:p>
    <w:p>
      <w:pPr>
        <w:spacing w:line="60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lang w:val="en-US" w:eastAsia="zh-CN"/>
        </w:rPr>
        <w:t>2025</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福州</w:t>
      </w:r>
      <w:r>
        <w:rPr>
          <w:rFonts w:hint="eastAsia" w:ascii="仿宋" w:hAnsi="仿宋" w:eastAsia="仿宋" w:cs="Arial"/>
          <w:kern w:val="0"/>
          <w:sz w:val="32"/>
          <w:szCs w:val="32"/>
        </w:rPr>
        <w:t>市对下税收返还预算数为</w:t>
      </w:r>
      <w:r>
        <w:rPr>
          <w:rFonts w:hint="eastAsia" w:ascii="仿宋" w:hAnsi="仿宋" w:eastAsia="仿宋" w:cs="Arial"/>
          <w:kern w:val="0"/>
          <w:sz w:val="32"/>
          <w:szCs w:val="32"/>
          <w:lang w:val="en-US" w:eastAsia="zh-CN"/>
        </w:rPr>
        <w:t>0</w:t>
      </w:r>
      <w:r>
        <w:rPr>
          <w:rFonts w:hint="eastAsia" w:ascii="仿宋" w:hAnsi="仿宋" w:eastAsia="仿宋" w:cs="Arial"/>
          <w:kern w:val="0"/>
          <w:sz w:val="32"/>
          <w:szCs w:val="32"/>
        </w:rPr>
        <w:t>万元。因此预算公开附表中，对下税收返还数额为零。</w:t>
      </w:r>
    </w:p>
    <w:p>
      <w:pPr>
        <w:spacing w:line="600" w:lineRule="exact"/>
        <w:ind w:firstLine="640" w:firstLineChars="200"/>
        <w:rPr>
          <w:rStyle w:val="11"/>
          <w:rFonts w:ascii="楷体" w:hAnsi="楷体" w:eastAsia="楷体" w:cs="Arial"/>
          <w:b w:val="0"/>
          <w:kern w:val="0"/>
          <w:sz w:val="32"/>
          <w:szCs w:val="32"/>
        </w:rPr>
      </w:pPr>
      <w:r>
        <w:rPr>
          <w:rFonts w:hint="eastAsia" w:ascii="楷体" w:hAnsi="楷体" w:eastAsia="楷体" w:cs="Arial"/>
          <w:kern w:val="0"/>
          <w:sz w:val="32"/>
          <w:szCs w:val="32"/>
        </w:rPr>
        <w:t>（二）</w:t>
      </w:r>
      <w:r>
        <w:rPr>
          <w:rStyle w:val="11"/>
          <w:rFonts w:hint="eastAsia" w:ascii="楷体" w:hAnsi="楷体" w:eastAsia="楷体" w:cs="Arial"/>
          <w:b w:val="0"/>
          <w:kern w:val="0"/>
          <w:sz w:val="32"/>
          <w:szCs w:val="32"/>
        </w:rPr>
        <w:t>一般性转移支付</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2025</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福州</w:t>
      </w:r>
      <w:r>
        <w:rPr>
          <w:rFonts w:hint="eastAsia" w:ascii="仿宋" w:hAnsi="仿宋" w:eastAsia="仿宋" w:cs="Arial"/>
          <w:kern w:val="0"/>
          <w:sz w:val="32"/>
          <w:szCs w:val="32"/>
        </w:rPr>
        <w:t>市对下一般转移支付预算数为</w:t>
      </w:r>
      <w:r>
        <w:rPr>
          <w:rFonts w:hint="eastAsia" w:ascii="仿宋" w:hAnsi="仿宋" w:eastAsia="仿宋" w:cs="Arial"/>
          <w:kern w:val="0"/>
          <w:sz w:val="32"/>
          <w:szCs w:val="32"/>
          <w:lang w:val="en-US" w:eastAsia="zh-CN"/>
        </w:rPr>
        <w:t>378166</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2024</w:t>
      </w:r>
      <w:r>
        <w:rPr>
          <w:rFonts w:hint="eastAsia" w:ascii="仿宋" w:hAnsi="仿宋" w:eastAsia="仿宋" w:cs="Arial"/>
          <w:kern w:val="0"/>
          <w:sz w:val="32"/>
          <w:szCs w:val="32"/>
        </w:rPr>
        <w:t>年度预算数</w:t>
      </w:r>
      <w:r>
        <w:rPr>
          <w:rFonts w:hint="eastAsia" w:ascii="仿宋" w:hAnsi="仿宋" w:eastAsia="仿宋"/>
          <w:kern w:val="0"/>
          <w:sz w:val="32"/>
          <w:szCs w:val="32"/>
        </w:rPr>
        <w:t>减少</w:t>
      </w:r>
      <w:r>
        <w:rPr>
          <w:rFonts w:hint="eastAsia" w:ascii="仿宋" w:hAnsi="仿宋" w:eastAsia="仿宋"/>
          <w:kern w:val="0"/>
          <w:sz w:val="32"/>
          <w:szCs w:val="32"/>
          <w:lang w:val="en-US" w:eastAsia="zh-CN"/>
        </w:rPr>
        <w:t>71445</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18.9</w:t>
      </w:r>
      <w:r>
        <w:rPr>
          <w:rFonts w:hint="eastAsia" w:ascii="仿宋" w:hAnsi="仿宋" w:eastAsia="仿宋"/>
          <w:kern w:val="0"/>
          <w:sz w:val="32"/>
          <w:szCs w:val="32"/>
        </w:rPr>
        <w:t>%</w:t>
      </w:r>
      <w:r>
        <w:rPr>
          <w:rFonts w:hint="eastAsia" w:ascii="仿宋" w:hAnsi="仿宋" w:eastAsia="仿宋" w:cs="Arial"/>
          <w:kern w:val="0"/>
          <w:sz w:val="32"/>
          <w:szCs w:val="32"/>
        </w:rPr>
        <w:t>。具体情况如下：</w:t>
      </w:r>
    </w:p>
    <w:p>
      <w:pPr>
        <w:spacing w:line="600" w:lineRule="exact"/>
        <w:ind w:firstLine="640" w:firstLineChars="200"/>
        <w:rPr>
          <w:rFonts w:hint="eastAsia" w:ascii="仿宋" w:hAnsi="仿宋" w:eastAsia="仿宋" w:cs="Arial"/>
          <w:color w:val="000000"/>
          <w:kern w:val="0"/>
          <w:sz w:val="32"/>
          <w:szCs w:val="32"/>
          <w:lang w:eastAsia="zh-CN"/>
        </w:rPr>
      </w:pPr>
      <w:r>
        <w:rPr>
          <w:rFonts w:hint="eastAsia" w:ascii="仿宋" w:hAnsi="仿宋" w:eastAsia="仿宋" w:cs="Arial"/>
          <w:color w:val="000000"/>
          <w:kern w:val="0"/>
          <w:sz w:val="32"/>
          <w:szCs w:val="32"/>
          <w:lang w:val="en-US" w:eastAsia="zh-CN"/>
        </w:rPr>
        <w:t>1</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教育共同财政事权转移支付支出</w:t>
      </w:r>
      <w:r>
        <w:rPr>
          <w:rFonts w:hint="eastAsia" w:ascii="仿宋" w:hAnsi="仿宋" w:eastAsia="仿宋" w:cs="Arial"/>
          <w:color w:val="000000"/>
          <w:kern w:val="0"/>
          <w:sz w:val="32"/>
          <w:szCs w:val="32"/>
          <w:lang w:val="en-US" w:eastAsia="zh-CN"/>
        </w:rPr>
        <w:t>29120</w:t>
      </w:r>
      <w:r>
        <w:rPr>
          <w:rFonts w:hint="eastAsia" w:ascii="仿宋" w:hAnsi="仿宋" w:eastAsia="仿宋" w:cs="Arial"/>
          <w:color w:val="000000"/>
          <w:kern w:val="0"/>
          <w:sz w:val="32"/>
          <w:szCs w:val="32"/>
        </w:rPr>
        <w:t>万元，</w:t>
      </w:r>
      <w:r>
        <w:rPr>
          <w:rFonts w:hint="eastAsia" w:ascii="仿宋" w:hAnsi="仿宋" w:eastAsia="仿宋" w:cs="Arial"/>
          <w:color w:val="000000"/>
          <w:kern w:val="0"/>
          <w:sz w:val="32"/>
          <w:szCs w:val="32"/>
          <w:lang w:eastAsia="zh-CN"/>
        </w:rPr>
        <w:t>比</w:t>
      </w:r>
      <w:r>
        <w:rPr>
          <w:rFonts w:hint="eastAsia" w:ascii="仿宋" w:hAnsi="仿宋" w:eastAsia="仿宋" w:cs="Arial"/>
          <w:color w:val="000000"/>
          <w:kern w:val="0"/>
          <w:sz w:val="32"/>
          <w:szCs w:val="32"/>
        </w:rPr>
        <w:t>上年</w:t>
      </w:r>
      <w:r>
        <w:rPr>
          <w:rFonts w:hint="eastAsia" w:ascii="仿宋" w:hAnsi="仿宋" w:eastAsia="仿宋" w:cs="Arial"/>
          <w:color w:val="000000"/>
          <w:kern w:val="0"/>
          <w:sz w:val="32"/>
          <w:szCs w:val="32"/>
          <w:lang w:eastAsia="zh-CN"/>
        </w:rPr>
        <w:t>减少</w:t>
      </w:r>
      <w:r>
        <w:rPr>
          <w:rFonts w:hint="eastAsia" w:ascii="仿宋" w:hAnsi="仿宋" w:eastAsia="仿宋" w:cs="Arial"/>
          <w:color w:val="000000"/>
          <w:kern w:val="0"/>
          <w:sz w:val="32"/>
          <w:szCs w:val="32"/>
          <w:lang w:val="en-US" w:eastAsia="zh-CN"/>
        </w:rPr>
        <w:t>2306万元，下降7.9%</w:t>
      </w:r>
      <w:r>
        <w:rPr>
          <w:rFonts w:hint="eastAsia" w:ascii="仿宋" w:hAnsi="仿宋" w:eastAsia="仿宋" w:cs="Arial"/>
          <w:color w:val="000000"/>
          <w:kern w:val="0"/>
          <w:sz w:val="32"/>
          <w:szCs w:val="32"/>
        </w:rPr>
        <w:t>。</w:t>
      </w:r>
    </w:p>
    <w:p>
      <w:pPr>
        <w:spacing w:line="600" w:lineRule="exact"/>
        <w:ind w:firstLine="640" w:firstLineChars="200"/>
        <w:rPr>
          <w:rFonts w:hint="default" w:ascii="仿宋" w:hAnsi="仿宋" w:eastAsia="仿宋" w:cs="Arial"/>
          <w:color w:val="000000"/>
          <w:kern w:val="0"/>
          <w:sz w:val="32"/>
          <w:szCs w:val="32"/>
          <w:lang w:val="en-US" w:eastAsia="zh-CN"/>
        </w:rPr>
      </w:pPr>
      <w:r>
        <w:rPr>
          <w:rFonts w:hint="eastAsia" w:ascii="仿宋" w:hAnsi="仿宋" w:eastAsia="仿宋" w:cs="Arial"/>
          <w:color w:val="000000"/>
          <w:kern w:val="0"/>
          <w:sz w:val="32"/>
          <w:szCs w:val="32"/>
          <w:lang w:val="en-US" w:eastAsia="zh-CN"/>
        </w:rPr>
        <w:t>2</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科技技术共同财政事权转移支付支出</w:t>
      </w:r>
      <w:r>
        <w:rPr>
          <w:rFonts w:hint="eastAsia" w:ascii="仿宋" w:hAnsi="仿宋" w:eastAsia="仿宋" w:cs="Arial"/>
          <w:color w:val="000000"/>
          <w:kern w:val="0"/>
          <w:sz w:val="32"/>
          <w:szCs w:val="32"/>
          <w:lang w:val="en-US" w:eastAsia="zh-CN"/>
        </w:rPr>
        <w:t>36585</w:t>
      </w:r>
      <w:r>
        <w:rPr>
          <w:rFonts w:hint="eastAsia" w:ascii="仿宋" w:hAnsi="仿宋" w:eastAsia="仿宋" w:cs="Arial"/>
          <w:color w:val="000000"/>
          <w:kern w:val="0"/>
          <w:sz w:val="32"/>
          <w:szCs w:val="32"/>
        </w:rPr>
        <w:t>万元，</w:t>
      </w:r>
      <w:r>
        <w:rPr>
          <w:rFonts w:hint="eastAsia" w:ascii="仿宋" w:hAnsi="仿宋" w:eastAsia="仿宋" w:cs="Arial"/>
          <w:color w:val="000000"/>
          <w:kern w:val="0"/>
          <w:sz w:val="32"/>
          <w:szCs w:val="32"/>
          <w:lang w:eastAsia="zh-CN"/>
        </w:rPr>
        <w:t>比</w:t>
      </w:r>
      <w:r>
        <w:rPr>
          <w:rFonts w:hint="eastAsia" w:ascii="仿宋" w:hAnsi="仿宋" w:eastAsia="仿宋" w:cs="Arial"/>
          <w:color w:val="000000"/>
          <w:kern w:val="0"/>
          <w:sz w:val="32"/>
          <w:szCs w:val="32"/>
        </w:rPr>
        <w:t>上年</w:t>
      </w:r>
      <w:r>
        <w:rPr>
          <w:rFonts w:hint="eastAsia" w:ascii="仿宋" w:hAnsi="仿宋" w:eastAsia="仿宋" w:cs="Arial"/>
          <w:color w:val="000000"/>
          <w:kern w:val="0"/>
          <w:sz w:val="32"/>
          <w:szCs w:val="32"/>
          <w:lang w:eastAsia="zh-CN"/>
        </w:rPr>
        <w:t>增加</w:t>
      </w:r>
      <w:r>
        <w:rPr>
          <w:rFonts w:hint="eastAsia" w:ascii="仿宋" w:hAnsi="仿宋" w:eastAsia="仿宋" w:cs="Arial"/>
          <w:color w:val="000000"/>
          <w:kern w:val="0"/>
          <w:sz w:val="32"/>
          <w:szCs w:val="32"/>
          <w:lang w:val="en-US" w:eastAsia="zh-CN"/>
        </w:rPr>
        <w:t>18802万元，增长51.4%</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主要原因是增加了福耀科技大学办学补助资金</w:t>
      </w:r>
      <w:r>
        <w:rPr>
          <w:rFonts w:hint="eastAsia" w:ascii="仿宋" w:hAnsi="仿宋" w:eastAsia="仿宋" w:cs="Arial"/>
          <w:color w:val="000000"/>
          <w:kern w:val="0"/>
          <w:sz w:val="32"/>
          <w:szCs w:val="32"/>
          <w:lang w:val="en-US" w:eastAsia="zh-CN"/>
        </w:rPr>
        <w:t>15000万元。</w:t>
      </w:r>
    </w:p>
    <w:p>
      <w:pPr>
        <w:spacing w:line="600" w:lineRule="exact"/>
        <w:ind w:firstLine="640" w:firstLineChars="200"/>
        <w:rPr>
          <w:rFonts w:hint="default" w:ascii="仿宋" w:hAnsi="仿宋" w:eastAsia="仿宋" w:cs="Arial"/>
          <w:color w:val="000000"/>
          <w:kern w:val="0"/>
          <w:sz w:val="32"/>
          <w:szCs w:val="32"/>
          <w:lang w:val="en-US" w:eastAsia="zh-CN"/>
        </w:rPr>
      </w:pPr>
      <w:r>
        <w:rPr>
          <w:rFonts w:hint="eastAsia" w:ascii="仿宋" w:hAnsi="仿宋" w:eastAsia="仿宋" w:cs="Arial"/>
          <w:color w:val="000000"/>
          <w:kern w:val="0"/>
          <w:sz w:val="32"/>
          <w:szCs w:val="32"/>
          <w:lang w:val="en-US" w:eastAsia="zh-CN"/>
        </w:rPr>
        <w:t>3</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文化旅游体育与传媒共同财政事权转移支付支出</w:t>
      </w:r>
      <w:r>
        <w:rPr>
          <w:rFonts w:hint="eastAsia" w:ascii="仿宋" w:hAnsi="仿宋" w:eastAsia="仿宋" w:cs="Arial"/>
          <w:color w:val="000000"/>
          <w:kern w:val="0"/>
          <w:sz w:val="32"/>
          <w:szCs w:val="32"/>
          <w:lang w:val="en-US" w:eastAsia="zh-CN"/>
        </w:rPr>
        <w:t>4167</w:t>
      </w:r>
      <w:r>
        <w:rPr>
          <w:rFonts w:hint="eastAsia" w:ascii="仿宋" w:hAnsi="仿宋" w:eastAsia="仿宋" w:cs="Arial"/>
          <w:color w:val="000000"/>
          <w:kern w:val="0"/>
          <w:sz w:val="32"/>
          <w:szCs w:val="32"/>
        </w:rPr>
        <w:t>万元，</w:t>
      </w:r>
      <w:r>
        <w:rPr>
          <w:rFonts w:hint="eastAsia" w:ascii="仿宋" w:hAnsi="仿宋" w:eastAsia="仿宋" w:cs="Arial"/>
          <w:color w:val="000000"/>
          <w:kern w:val="0"/>
          <w:sz w:val="32"/>
          <w:szCs w:val="32"/>
          <w:lang w:eastAsia="zh-CN"/>
        </w:rPr>
        <w:t>比</w:t>
      </w:r>
      <w:r>
        <w:rPr>
          <w:rFonts w:hint="eastAsia" w:ascii="仿宋" w:hAnsi="仿宋" w:eastAsia="仿宋" w:cs="Arial"/>
          <w:color w:val="000000"/>
          <w:kern w:val="0"/>
          <w:sz w:val="32"/>
          <w:szCs w:val="32"/>
        </w:rPr>
        <w:t>上年</w:t>
      </w:r>
      <w:r>
        <w:rPr>
          <w:rFonts w:hint="eastAsia" w:ascii="仿宋" w:hAnsi="仿宋" w:eastAsia="仿宋" w:cs="Arial"/>
          <w:color w:val="000000"/>
          <w:kern w:val="0"/>
          <w:sz w:val="32"/>
          <w:szCs w:val="32"/>
          <w:lang w:eastAsia="zh-CN"/>
        </w:rPr>
        <w:t>增加</w:t>
      </w:r>
      <w:r>
        <w:rPr>
          <w:rFonts w:hint="eastAsia" w:ascii="仿宋" w:hAnsi="仿宋" w:eastAsia="仿宋" w:cs="Arial"/>
          <w:color w:val="000000"/>
          <w:kern w:val="0"/>
          <w:sz w:val="32"/>
          <w:szCs w:val="32"/>
          <w:lang w:val="en-US" w:eastAsia="zh-CN"/>
        </w:rPr>
        <w:t>1705万元，增长40.9%</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主要是省级提前下达文旅经济发展专项资金增加</w:t>
      </w:r>
      <w:r>
        <w:rPr>
          <w:rFonts w:hint="eastAsia" w:ascii="仿宋" w:hAnsi="仿宋" w:eastAsia="仿宋" w:cs="Arial"/>
          <w:color w:val="000000"/>
          <w:kern w:val="0"/>
          <w:sz w:val="32"/>
          <w:szCs w:val="32"/>
          <w:lang w:val="en-US" w:eastAsia="zh-CN"/>
        </w:rPr>
        <w:t>1362万元。</w:t>
      </w:r>
    </w:p>
    <w:p>
      <w:pPr>
        <w:spacing w:line="600" w:lineRule="exact"/>
        <w:ind w:firstLine="640" w:firstLineChars="200"/>
        <w:rPr>
          <w:rFonts w:hint="eastAsia" w:ascii="仿宋" w:hAnsi="仿宋" w:eastAsia="仿宋" w:cs="Arial"/>
          <w:color w:val="000000"/>
          <w:kern w:val="0"/>
          <w:sz w:val="32"/>
          <w:szCs w:val="32"/>
          <w:lang w:eastAsia="zh-CN"/>
        </w:rPr>
      </w:pPr>
      <w:r>
        <w:rPr>
          <w:rFonts w:hint="eastAsia" w:ascii="仿宋" w:hAnsi="仿宋" w:eastAsia="仿宋" w:cs="Arial"/>
          <w:color w:val="000000"/>
          <w:kern w:val="0"/>
          <w:sz w:val="32"/>
          <w:szCs w:val="32"/>
          <w:lang w:val="en-US" w:eastAsia="zh-CN"/>
        </w:rPr>
        <w:t>4</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社会保障和就业共同财政事权转移支付支出</w:t>
      </w:r>
      <w:r>
        <w:rPr>
          <w:rFonts w:hint="eastAsia" w:ascii="仿宋" w:hAnsi="仿宋" w:eastAsia="仿宋" w:cs="Arial"/>
          <w:color w:val="000000"/>
          <w:kern w:val="0"/>
          <w:sz w:val="32"/>
          <w:szCs w:val="32"/>
          <w:lang w:val="en-US" w:eastAsia="zh-CN"/>
        </w:rPr>
        <w:t>120393</w:t>
      </w:r>
      <w:r>
        <w:rPr>
          <w:rFonts w:hint="eastAsia" w:ascii="仿宋" w:hAnsi="仿宋" w:eastAsia="仿宋" w:cs="Arial"/>
          <w:color w:val="000000"/>
          <w:kern w:val="0"/>
          <w:sz w:val="32"/>
          <w:szCs w:val="32"/>
        </w:rPr>
        <w:t>万元，</w:t>
      </w:r>
      <w:r>
        <w:rPr>
          <w:rFonts w:hint="eastAsia" w:ascii="仿宋" w:hAnsi="仿宋" w:eastAsia="仿宋" w:cs="Arial"/>
          <w:color w:val="000000"/>
          <w:kern w:val="0"/>
          <w:sz w:val="32"/>
          <w:szCs w:val="32"/>
          <w:lang w:eastAsia="zh-CN"/>
        </w:rPr>
        <w:t>比</w:t>
      </w:r>
      <w:r>
        <w:rPr>
          <w:rFonts w:hint="eastAsia" w:ascii="仿宋" w:hAnsi="仿宋" w:eastAsia="仿宋" w:cs="Arial"/>
          <w:color w:val="000000"/>
          <w:kern w:val="0"/>
          <w:sz w:val="32"/>
          <w:szCs w:val="32"/>
        </w:rPr>
        <w:t>上年</w:t>
      </w:r>
      <w:r>
        <w:rPr>
          <w:rFonts w:hint="eastAsia" w:ascii="仿宋" w:hAnsi="仿宋" w:eastAsia="仿宋" w:cs="Arial"/>
          <w:color w:val="000000"/>
          <w:kern w:val="0"/>
          <w:sz w:val="32"/>
          <w:szCs w:val="32"/>
          <w:lang w:eastAsia="zh-CN"/>
        </w:rPr>
        <w:t>增加</w:t>
      </w:r>
      <w:r>
        <w:rPr>
          <w:rFonts w:hint="eastAsia" w:ascii="仿宋" w:hAnsi="仿宋" w:eastAsia="仿宋" w:cs="Arial"/>
          <w:color w:val="000000"/>
          <w:kern w:val="0"/>
          <w:sz w:val="32"/>
          <w:szCs w:val="32"/>
          <w:lang w:val="en-US" w:eastAsia="zh-CN"/>
        </w:rPr>
        <w:t>11365万元，增长9.4%</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主要原因是城乡居民养老保险、四城区残疾人就业保障金等项目补助资金增加。</w:t>
      </w:r>
    </w:p>
    <w:p>
      <w:pPr>
        <w:spacing w:line="600" w:lineRule="exact"/>
        <w:ind w:firstLine="640" w:firstLineChars="200"/>
        <w:rPr>
          <w:rFonts w:hint="eastAsia" w:ascii="仿宋" w:hAnsi="仿宋" w:eastAsia="仿宋" w:cs="Arial"/>
          <w:color w:val="000000"/>
          <w:kern w:val="0"/>
          <w:sz w:val="32"/>
          <w:szCs w:val="32"/>
        </w:rPr>
      </w:pPr>
      <w:r>
        <w:rPr>
          <w:rFonts w:hint="eastAsia" w:ascii="仿宋" w:hAnsi="仿宋" w:eastAsia="仿宋" w:cs="Arial"/>
          <w:color w:val="000000"/>
          <w:kern w:val="0"/>
          <w:sz w:val="32"/>
          <w:szCs w:val="32"/>
          <w:lang w:val="en-US" w:eastAsia="zh-CN"/>
        </w:rPr>
        <w:t>5</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医疗卫生共同财政事权转移支付支出</w:t>
      </w:r>
      <w:r>
        <w:rPr>
          <w:rFonts w:hint="eastAsia" w:ascii="仿宋" w:hAnsi="仿宋" w:eastAsia="仿宋" w:cs="Arial"/>
          <w:color w:val="000000"/>
          <w:kern w:val="0"/>
          <w:sz w:val="32"/>
          <w:szCs w:val="32"/>
          <w:lang w:val="en-US" w:eastAsia="zh-CN"/>
        </w:rPr>
        <w:t>18090</w:t>
      </w:r>
      <w:r>
        <w:rPr>
          <w:rFonts w:hint="eastAsia" w:ascii="仿宋" w:hAnsi="仿宋" w:eastAsia="仿宋" w:cs="Arial"/>
          <w:color w:val="000000"/>
          <w:kern w:val="0"/>
          <w:sz w:val="32"/>
          <w:szCs w:val="32"/>
        </w:rPr>
        <w:t>万元，</w:t>
      </w:r>
      <w:r>
        <w:rPr>
          <w:rFonts w:hint="eastAsia" w:ascii="仿宋" w:hAnsi="仿宋" w:eastAsia="仿宋" w:cs="Arial"/>
          <w:color w:val="000000"/>
          <w:kern w:val="0"/>
          <w:sz w:val="32"/>
          <w:szCs w:val="32"/>
          <w:lang w:eastAsia="zh-CN"/>
        </w:rPr>
        <w:t>比</w:t>
      </w:r>
      <w:r>
        <w:rPr>
          <w:rFonts w:hint="eastAsia" w:ascii="仿宋" w:hAnsi="仿宋" w:eastAsia="仿宋" w:cs="Arial"/>
          <w:color w:val="000000"/>
          <w:kern w:val="0"/>
          <w:sz w:val="32"/>
          <w:szCs w:val="32"/>
        </w:rPr>
        <w:t>上年</w:t>
      </w:r>
      <w:r>
        <w:rPr>
          <w:rFonts w:hint="eastAsia" w:ascii="仿宋" w:hAnsi="仿宋" w:eastAsia="仿宋" w:cs="Arial"/>
          <w:color w:val="000000"/>
          <w:kern w:val="0"/>
          <w:sz w:val="32"/>
          <w:szCs w:val="32"/>
          <w:lang w:eastAsia="zh-CN"/>
        </w:rPr>
        <w:t>减少</w:t>
      </w:r>
      <w:r>
        <w:rPr>
          <w:rFonts w:hint="eastAsia" w:ascii="仿宋" w:hAnsi="仿宋" w:eastAsia="仿宋" w:cs="Arial"/>
          <w:color w:val="000000"/>
          <w:kern w:val="0"/>
          <w:sz w:val="32"/>
          <w:szCs w:val="32"/>
          <w:lang w:val="en-US" w:eastAsia="zh-CN"/>
        </w:rPr>
        <w:t>96226万元，下降531.9%。主要原因是</w:t>
      </w:r>
      <w:r>
        <w:rPr>
          <w:rFonts w:hint="eastAsia" w:ascii="仿宋" w:hAnsi="仿宋" w:eastAsia="仿宋" w:cs="Arial"/>
          <w:kern w:val="0"/>
          <w:sz w:val="32"/>
          <w:szCs w:val="32"/>
          <w:lang w:val="en-US" w:eastAsia="zh-CN"/>
        </w:rPr>
        <w:t>城乡居民基本医疗保险资金实行市级统筹，省级提前下达的相关补助，不下达县区，由市级统一列支</w:t>
      </w:r>
      <w:r>
        <w:rPr>
          <w:rFonts w:hint="eastAsia" w:ascii="仿宋" w:hAnsi="仿宋" w:eastAsia="仿宋" w:cs="Arial"/>
          <w:color w:val="000000"/>
          <w:kern w:val="0"/>
          <w:sz w:val="32"/>
          <w:szCs w:val="32"/>
        </w:rPr>
        <w:t>。</w:t>
      </w:r>
    </w:p>
    <w:p>
      <w:pPr>
        <w:spacing w:line="600" w:lineRule="exact"/>
        <w:ind w:firstLine="640" w:firstLineChars="200"/>
        <w:rPr>
          <w:rFonts w:hint="eastAsia" w:ascii="仿宋" w:hAnsi="仿宋" w:eastAsia="仿宋" w:cs="Arial"/>
          <w:color w:val="000000"/>
          <w:kern w:val="0"/>
          <w:sz w:val="32"/>
          <w:szCs w:val="32"/>
          <w:lang w:val="en-US" w:eastAsia="zh-CN"/>
        </w:rPr>
      </w:pPr>
      <w:r>
        <w:rPr>
          <w:rFonts w:hint="eastAsia" w:ascii="仿宋" w:hAnsi="仿宋" w:eastAsia="仿宋" w:cs="Arial"/>
          <w:color w:val="000000"/>
          <w:kern w:val="0"/>
          <w:sz w:val="32"/>
          <w:szCs w:val="32"/>
          <w:lang w:val="en-US" w:eastAsia="zh-CN"/>
        </w:rPr>
        <w:t>6</w:t>
      </w:r>
      <w:r>
        <w:rPr>
          <w:rFonts w:hint="eastAsia" w:ascii="仿宋" w:hAnsi="仿宋" w:eastAsia="仿宋" w:cs="Arial"/>
          <w:color w:val="000000"/>
          <w:kern w:val="0"/>
          <w:sz w:val="32"/>
          <w:szCs w:val="32"/>
        </w:rPr>
        <w:t>.</w:t>
      </w:r>
      <w:r>
        <w:rPr>
          <w:rFonts w:hint="eastAsia" w:ascii="仿宋" w:hAnsi="仿宋" w:eastAsia="仿宋" w:cs="Arial"/>
          <w:color w:val="000000"/>
          <w:kern w:val="0"/>
          <w:sz w:val="32"/>
          <w:szCs w:val="32"/>
          <w:lang w:eastAsia="zh-CN"/>
        </w:rPr>
        <w:t>农林水共同财政事权转移支付支出</w:t>
      </w:r>
      <w:r>
        <w:rPr>
          <w:rFonts w:hint="eastAsia" w:ascii="仿宋" w:hAnsi="仿宋" w:eastAsia="仿宋" w:cs="Arial"/>
          <w:color w:val="000000"/>
          <w:kern w:val="0"/>
          <w:sz w:val="32"/>
          <w:szCs w:val="32"/>
          <w:lang w:val="en-US" w:eastAsia="zh-CN"/>
        </w:rPr>
        <w:t>39781</w:t>
      </w:r>
      <w:r>
        <w:rPr>
          <w:rFonts w:hint="eastAsia" w:ascii="仿宋" w:hAnsi="仿宋" w:eastAsia="仿宋" w:cs="Arial"/>
          <w:color w:val="000000"/>
          <w:kern w:val="0"/>
          <w:sz w:val="32"/>
          <w:szCs w:val="32"/>
        </w:rPr>
        <w:t>万元，</w:t>
      </w:r>
      <w:r>
        <w:rPr>
          <w:rFonts w:hint="eastAsia" w:ascii="仿宋" w:hAnsi="仿宋" w:eastAsia="仿宋" w:cs="Arial"/>
          <w:color w:val="000000"/>
          <w:kern w:val="0"/>
          <w:sz w:val="32"/>
          <w:szCs w:val="32"/>
          <w:lang w:eastAsia="zh-CN"/>
        </w:rPr>
        <w:t>比</w:t>
      </w:r>
      <w:r>
        <w:rPr>
          <w:rFonts w:hint="eastAsia" w:ascii="仿宋" w:hAnsi="仿宋" w:eastAsia="仿宋" w:cs="Arial"/>
          <w:color w:val="000000"/>
          <w:kern w:val="0"/>
          <w:sz w:val="32"/>
          <w:szCs w:val="32"/>
        </w:rPr>
        <w:t>上年</w:t>
      </w:r>
      <w:r>
        <w:rPr>
          <w:rFonts w:hint="eastAsia" w:ascii="仿宋" w:hAnsi="仿宋" w:eastAsia="仿宋" w:cs="Arial"/>
          <w:color w:val="000000"/>
          <w:kern w:val="0"/>
          <w:sz w:val="32"/>
          <w:szCs w:val="32"/>
          <w:lang w:eastAsia="zh-CN"/>
        </w:rPr>
        <w:t>减少</w:t>
      </w:r>
      <w:r>
        <w:rPr>
          <w:rFonts w:hint="eastAsia" w:ascii="仿宋" w:hAnsi="仿宋" w:eastAsia="仿宋" w:cs="Arial"/>
          <w:color w:val="000000"/>
          <w:kern w:val="0"/>
          <w:sz w:val="32"/>
          <w:szCs w:val="32"/>
          <w:lang w:val="en-US" w:eastAsia="zh-CN"/>
        </w:rPr>
        <w:t>1859万元，下降4.7%。主要原因是省级提前下达补助减少。</w:t>
      </w:r>
    </w:p>
    <w:p>
      <w:pPr>
        <w:numPr>
          <w:ilvl w:val="0"/>
          <w:numId w:val="0"/>
        </w:numPr>
        <w:spacing w:line="600" w:lineRule="exact"/>
        <w:ind w:firstLine="640" w:firstLineChars="200"/>
        <w:rPr>
          <w:rFonts w:hint="eastAsia"/>
          <w:lang w:val="en-US" w:eastAsia="zh-CN"/>
        </w:rPr>
      </w:pPr>
      <w:r>
        <w:rPr>
          <w:rFonts w:hint="eastAsia" w:ascii="仿宋" w:hAnsi="仿宋" w:eastAsia="仿宋"/>
          <w:kern w:val="0"/>
          <w:sz w:val="32"/>
          <w:szCs w:val="32"/>
          <w:lang w:val="en-US" w:eastAsia="zh-CN"/>
        </w:rPr>
        <w:t>7.结算补助支出109988</w:t>
      </w:r>
      <w:r>
        <w:rPr>
          <w:rFonts w:hint="eastAsia" w:ascii="仿宋" w:hAnsi="仿宋" w:eastAsia="仿宋"/>
          <w:kern w:val="0"/>
          <w:sz w:val="32"/>
          <w:szCs w:val="32"/>
        </w:rPr>
        <w:t>万元</w:t>
      </w:r>
      <w:r>
        <w:rPr>
          <w:rFonts w:hint="eastAsia" w:ascii="仿宋" w:hAnsi="仿宋" w:eastAsia="仿宋"/>
          <w:kern w:val="0"/>
          <w:sz w:val="32"/>
          <w:szCs w:val="32"/>
          <w:lang w:eastAsia="zh-CN"/>
        </w:rPr>
        <w:t>，比上年增加</w:t>
      </w:r>
      <w:r>
        <w:rPr>
          <w:rFonts w:hint="eastAsia" w:ascii="仿宋" w:hAnsi="仿宋" w:eastAsia="仿宋"/>
          <w:kern w:val="0"/>
          <w:sz w:val="32"/>
          <w:szCs w:val="32"/>
          <w:lang w:val="en-US" w:eastAsia="zh-CN"/>
        </w:rPr>
        <w:t>10万元，据实结算</w:t>
      </w:r>
      <w:r>
        <w:rPr>
          <w:rFonts w:hint="eastAsia" w:ascii="仿宋" w:hAnsi="仿宋" w:eastAsia="仿宋"/>
          <w:kern w:val="0"/>
          <w:sz w:val="32"/>
          <w:szCs w:val="32"/>
        </w:rPr>
        <w:t>。</w:t>
      </w:r>
    </w:p>
    <w:p>
      <w:pPr>
        <w:spacing w:line="600" w:lineRule="exact"/>
        <w:ind w:firstLine="640" w:firstLineChars="200"/>
        <w:rPr>
          <w:rStyle w:val="11"/>
          <w:rFonts w:ascii="楷体" w:hAnsi="楷体" w:eastAsia="楷体" w:cs="Arial"/>
          <w:kern w:val="0"/>
          <w:sz w:val="32"/>
          <w:szCs w:val="32"/>
        </w:rPr>
      </w:pPr>
      <w:r>
        <w:rPr>
          <w:rFonts w:hint="eastAsia" w:ascii="楷体" w:hAnsi="楷体" w:eastAsia="楷体" w:cs="Arial"/>
          <w:kern w:val="0"/>
          <w:sz w:val="32"/>
          <w:szCs w:val="32"/>
        </w:rPr>
        <w:t>（三）</w:t>
      </w:r>
      <w:r>
        <w:rPr>
          <w:rStyle w:val="11"/>
          <w:rFonts w:hint="eastAsia" w:ascii="楷体" w:hAnsi="楷体" w:eastAsia="楷体" w:cs="Arial"/>
          <w:b w:val="0"/>
          <w:kern w:val="0"/>
          <w:sz w:val="32"/>
          <w:szCs w:val="32"/>
        </w:rPr>
        <w:t>专项转移支付</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2025</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福州</w:t>
      </w:r>
      <w:r>
        <w:rPr>
          <w:rFonts w:hint="eastAsia" w:ascii="仿宋" w:hAnsi="仿宋" w:eastAsia="仿宋" w:cs="Arial"/>
          <w:kern w:val="0"/>
          <w:sz w:val="32"/>
          <w:szCs w:val="32"/>
        </w:rPr>
        <w:t>市对下专项转移支付预算数为</w:t>
      </w:r>
      <w:r>
        <w:rPr>
          <w:rFonts w:hint="eastAsia" w:ascii="仿宋" w:hAnsi="仿宋" w:eastAsia="仿宋" w:cs="Arial"/>
          <w:kern w:val="0"/>
          <w:sz w:val="32"/>
          <w:szCs w:val="32"/>
          <w:lang w:val="en-US" w:eastAsia="zh-CN"/>
        </w:rPr>
        <w:t>155508.5</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2024</w:t>
      </w:r>
      <w:r>
        <w:rPr>
          <w:rFonts w:hint="eastAsia" w:ascii="仿宋" w:hAnsi="仿宋" w:eastAsia="仿宋" w:cs="Arial"/>
          <w:kern w:val="0"/>
          <w:sz w:val="32"/>
          <w:szCs w:val="32"/>
        </w:rPr>
        <w:t>年度预算数</w:t>
      </w:r>
      <w:r>
        <w:rPr>
          <w:rFonts w:hint="eastAsia" w:ascii="仿宋" w:hAnsi="仿宋" w:eastAsia="仿宋"/>
          <w:kern w:val="0"/>
          <w:sz w:val="32"/>
          <w:szCs w:val="32"/>
        </w:rPr>
        <w:t>减少</w:t>
      </w:r>
      <w:r>
        <w:rPr>
          <w:rFonts w:hint="eastAsia" w:ascii="仿宋" w:hAnsi="仿宋" w:eastAsia="仿宋"/>
          <w:kern w:val="0"/>
          <w:sz w:val="32"/>
          <w:szCs w:val="32"/>
          <w:lang w:val="en-US" w:eastAsia="zh-CN"/>
        </w:rPr>
        <w:t>8897.5</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5.4</w:t>
      </w:r>
      <w:r>
        <w:rPr>
          <w:rFonts w:hint="eastAsia" w:ascii="仿宋" w:hAnsi="仿宋" w:eastAsia="仿宋"/>
          <w:kern w:val="0"/>
          <w:sz w:val="32"/>
          <w:szCs w:val="32"/>
        </w:rPr>
        <w:t>%</w:t>
      </w:r>
      <w:r>
        <w:rPr>
          <w:rFonts w:hint="eastAsia" w:ascii="仿宋" w:hAnsi="仿宋" w:eastAsia="仿宋" w:cs="Arial"/>
          <w:kern w:val="0"/>
          <w:sz w:val="32"/>
          <w:szCs w:val="32"/>
        </w:rPr>
        <w:t>。</w:t>
      </w:r>
      <w:r>
        <w:rPr>
          <w:rFonts w:hint="eastAsia" w:ascii="仿宋" w:hAnsi="仿宋" w:eastAsia="仿宋" w:cs="Arial"/>
          <w:kern w:val="0"/>
          <w:sz w:val="32"/>
          <w:szCs w:val="32"/>
          <w:lang w:eastAsia="zh-CN"/>
        </w:rPr>
        <w:t>主要原因是省级提前下达</w:t>
      </w:r>
      <w:r>
        <w:rPr>
          <w:rFonts w:hint="eastAsia" w:ascii="仿宋" w:hAnsi="仿宋" w:eastAsia="仿宋" w:cs="Arial"/>
          <w:kern w:val="0"/>
          <w:sz w:val="32"/>
          <w:szCs w:val="32"/>
        </w:rPr>
        <w:t>商业服务业等支出</w:t>
      </w:r>
      <w:r>
        <w:rPr>
          <w:rFonts w:hint="eastAsia" w:ascii="仿宋" w:hAnsi="仿宋" w:eastAsia="仿宋" w:cs="Arial"/>
          <w:kern w:val="0"/>
          <w:sz w:val="32"/>
          <w:szCs w:val="32"/>
          <w:lang w:eastAsia="zh-CN"/>
        </w:rPr>
        <w:t>减少，</w:t>
      </w:r>
      <w:r>
        <w:rPr>
          <w:rFonts w:hint="eastAsia" w:ascii="仿宋" w:hAnsi="仿宋" w:eastAsia="仿宋" w:cs="Arial"/>
          <w:kern w:val="0"/>
          <w:sz w:val="32"/>
          <w:szCs w:val="32"/>
        </w:rPr>
        <w:t>具体情况如下：</w:t>
      </w:r>
    </w:p>
    <w:p>
      <w:pPr>
        <w:spacing w:line="600" w:lineRule="exact"/>
        <w:ind w:firstLine="640" w:firstLineChars="200"/>
        <w:rPr>
          <w:rFonts w:hint="eastAsia" w:ascii="仿宋" w:hAnsi="仿宋" w:eastAsia="仿宋" w:cs="Arial"/>
          <w:kern w:val="0"/>
          <w:sz w:val="32"/>
          <w:szCs w:val="32"/>
          <w:lang w:eastAsia="zh-CN"/>
        </w:rPr>
      </w:pPr>
      <w:r>
        <w:rPr>
          <w:rFonts w:hint="eastAsia" w:ascii="仿宋" w:hAnsi="仿宋" w:eastAsia="仿宋" w:cs="Arial"/>
          <w:kern w:val="0"/>
          <w:sz w:val="32"/>
          <w:szCs w:val="32"/>
        </w:rPr>
        <w:t>1.一般公共服务支出</w:t>
      </w:r>
      <w:r>
        <w:rPr>
          <w:rFonts w:hint="eastAsia" w:ascii="仿宋" w:hAnsi="仿宋" w:eastAsia="仿宋" w:cs="Arial"/>
          <w:kern w:val="0"/>
          <w:sz w:val="32"/>
          <w:szCs w:val="32"/>
          <w:lang w:val="en-US" w:eastAsia="zh-CN"/>
        </w:rPr>
        <w:t>1935</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w:t>
      </w:r>
    </w:p>
    <w:p>
      <w:pPr>
        <w:spacing w:line="600" w:lineRule="exact"/>
        <w:ind w:firstLine="640" w:firstLineChars="200"/>
        <w:rPr>
          <w:rFonts w:hint="eastAsia" w:ascii="仿宋" w:hAnsi="仿宋" w:eastAsia="仿宋" w:cs="Arial"/>
          <w:kern w:val="0"/>
          <w:sz w:val="32"/>
          <w:szCs w:val="32"/>
          <w:lang w:eastAsia="zh-CN"/>
        </w:rPr>
      </w:pPr>
      <w:r>
        <w:rPr>
          <w:rFonts w:hint="eastAsia" w:ascii="仿宋" w:hAnsi="仿宋" w:eastAsia="仿宋" w:cs="Arial"/>
          <w:kern w:val="0"/>
          <w:sz w:val="32"/>
          <w:szCs w:val="32"/>
          <w:lang w:val="en-US" w:eastAsia="zh-CN"/>
        </w:rPr>
        <w:t>2</w:t>
      </w:r>
      <w:r>
        <w:rPr>
          <w:rFonts w:hint="eastAsia" w:ascii="仿宋" w:hAnsi="仿宋" w:eastAsia="仿宋" w:cs="Arial"/>
          <w:kern w:val="0"/>
          <w:sz w:val="32"/>
          <w:szCs w:val="32"/>
        </w:rPr>
        <w:t>.节能环保支出</w:t>
      </w:r>
      <w:r>
        <w:rPr>
          <w:rFonts w:hint="eastAsia" w:ascii="仿宋" w:hAnsi="仿宋" w:eastAsia="仿宋" w:cs="Arial"/>
          <w:kern w:val="0"/>
          <w:sz w:val="32"/>
          <w:szCs w:val="32"/>
          <w:lang w:val="en-US" w:eastAsia="zh-CN"/>
        </w:rPr>
        <w:t>27201</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w:t>
      </w:r>
    </w:p>
    <w:p>
      <w:pPr>
        <w:spacing w:line="600" w:lineRule="exact"/>
        <w:ind w:firstLine="640" w:firstLineChars="200"/>
        <w:rPr>
          <w:rFonts w:hint="eastAsia" w:ascii="仿宋" w:hAnsi="仿宋" w:eastAsia="仿宋" w:cs="Arial"/>
          <w:kern w:val="0"/>
          <w:sz w:val="32"/>
          <w:szCs w:val="32"/>
          <w:lang w:eastAsia="zh-CN"/>
        </w:rPr>
      </w:pPr>
      <w:r>
        <w:rPr>
          <w:rFonts w:hint="eastAsia" w:ascii="仿宋" w:hAnsi="仿宋" w:eastAsia="仿宋" w:cs="Arial"/>
          <w:kern w:val="0"/>
          <w:sz w:val="32"/>
          <w:szCs w:val="32"/>
          <w:lang w:val="en-US" w:eastAsia="zh-CN"/>
        </w:rPr>
        <w:t>3</w:t>
      </w:r>
      <w:r>
        <w:rPr>
          <w:rFonts w:hint="eastAsia" w:ascii="仿宋" w:hAnsi="仿宋" w:eastAsia="仿宋" w:cs="Arial"/>
          <w:kern w:val="0"/>
          <w:sz w:val="32"/>
          <w:szCs w:val="32"/>
        </w:rPr>
        <w:t>.城乡社区支出</w:t>
      </w:r>
      <w:r>
        <w:rPr>
          <w:rFonts w:hint="eastAsia" w:ascii="仿宋" w:hAnsi="仿宋" w:eastAsia="仿宋" w:cs="Arial"/>
          <w:kern w:val="0"/>
          <w:sz w:val="32"/>
          <w:szCs w:val="32"/>
          <w:lang w:val="en-US" w:eastAsia="zh-CN"/>
        </w:rPr>
        <w:t>67206.5</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w:t>
      </w:r>
    </w:p>
    <w:p>
      <w:pPr>
        <w:spacing w:line="600" w:lineRule="exact"/>
        <w:ind w:firstLine="640" w:firstLineChars="200"/>
        <w:rPr>
          <w:rFonts w:hint="eastAsia" w:ascii="仿宋" w:hAnsi="仿宋" w:eastAsia="仿宋" w:cs="Arial"/>
          <w:kern w:val="0"/>
          <w:sz w:val="32"/>
          <w:szCs w:val="32"/>
          <w:lang w:eastAsia="zh-CN"/>
        </w:rPr>
      </w:pPr>
      <w:r>
        <w:rPr>
          <w:rFonts w:hint="eastAsia" w:ascii="仿宋" w:hAnsi="仿宋" w:eastAsia="仿宋" w:cs="Arial"/>
          <w:kern w:val="0"/>
          <w:sz w:val="32"/>
          <w:szCs w:val="32"/>
          <w:lang w:val="en-US" w:eastAsia="zh-CN"/>
        </w:rPr>
        <w:t>4</w:t>
      </w:r>
      <w:r>
        <w:rPr>
          <w:rFonts w:hint="eastAsia" w:ascii="仿宋" w:hAnsi="仿宋" w:eastAsia="仿宋" w:cs="Arial"/>
          <w:kern w:val="0"/>
          <w:sz w:val="32"/>
          <w:szCs w:val="32"/>
        </w:rPr>
        <w:t>.资源勘探工业信息等支出</w:t>
      </w:r>
      <w:r>
        <w:rPr>
          <w:rFonts w:hint="eastAsia" w:ascii="仿宋" w:hAnsi="仿宋" w:eastAsia="仿宋" w:cs="Arial"/>
          <w:kern w:val="0"/>
          <w:sz w:val="32"/>
          <w:szCs w:val="32"/>
          <w:lang w:val="en-US" w:eastAsia="zh-CN"/>
        </w:rPr>
        <w:t>28800</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w:t>
      </w:r>
    </w:p>
    <w:p>
      <w:pPr>
        <w:spacing w:line="600" w:lineRule="exact"/>
        <w:ind w:firstLine="640" w:firstLineChars="200"/>
        <w:rPr>
          <w:rFonts w:hint="eastAsia" w:ascii="仿宋" w:hAnsi="仿宋" w:eastAsia="仿宋" w:cs="Arial"/>
          <w:kern w:val="0"/>
          <w:sz w:val="32"/>
          <w:szCs w:val="32"/>
          <w:lang w:eastAsia="zh-CN"/>
        </w:rPr>
      </w:pPr>
      <w:r>
        <w:rPr>
          <w:rFonts w:hint="eastAsia" w:ascii="仿宋" w:hAnsi="仿宋" w:eastAsia="仿宋" w:cs="Arial"/>
          <w:kern w:val="0"/>
          <w:sz w:val="32"/>
          <w:szCs w:val="32"/>
          <w:lang w:val="en-US" w:eastAsia="zh-CN"/>
        </w:rPr>
        <w:t>5</w:t>
      </w:r>
      <w:r>
        <w:rPr>
          <w:rFonts w:hint="eastAsia" w:ascii="仿宋" w:hAnsi="仿宋" w:eastAsia="仿宋" w:cs="Arial"/>
          <w:kern w:val="0"/>
          <w:sz w:val="32"/>
          <w:szCs w:val="32"/>
        </w:rPr>
        <w:t>.商业服务业等支出</w:t>
      </w:r>
      <w:r>
        <w:rPr>
          <w:rFonts w:hint="eastAsia" w:ascii="仿宋" w:hAnsi="仿宋" w:eastAsia="仿宋" w:cs="Arial"/>
          <w:kern w:val="0"/>
          <w:sz w:val="32"/>
          <w:szCs w:val="32"/>
          <w:lang w:val="en-US" w:eastAsia="zh-CN"/>
        </w:rPr>
        <w:t>17811</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w:t>
      </w:r>
    </w:p>
    <w:p>
      <w:pPr>
        <w:spacing w:line="600" w:lineRule="exact"/>
        <w:ind w:firstLine="640" w:firstLineChars="200"/>
        <w:rPr>
          <w:rFonts w:hint="default"/>
          <w:lang w:val="en-US" w:eastAsia="zh-CN"/>
        </w:rPr>
      </w:pPr>
      <w:r>
        <w:rPr>
          <w:rFonts w:hint="eastAsia" w:ascii="仿宋" w:hAnsi="仿宋" w:eastAsia="仿宋" w:cs="Arial"/>
          <w:kern w:val="0"/>
          <w:sz w:val="32"/>
          <w:szCs w:val="32"/>
          <w:lang w:val="en-US" w:eastAsia="zh-CN"/>
        </w:rPr>
        <w:t>6.金融支出535万元。</w:t>
      </w:r>
    </w:p>
    <w:p>
      <w:pPr>
        <w:spacing w:line="600" w:lineRule="exact"/>
        <w:ind w:firstLine="640" w:firstLineChars="200"/>
        <w:rPr>
          <w:rFonts w:hint="default"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7.</w:t>
      </w:r>
      <w:r>
        <w:rPr>
          <w:rFonts w:hint="eastAsia" w:ascii="仿宋" w:hAnsi="仿宋" w:eastAsia="仿宋" w:cs="Arial"/>
          <w:kern w:val="0"/>
          <w:sz w:val="32"/>
          <w:szCs w:val="32"/>
          <w:lang w:eastAsia="zh-CN"/>
        </w:rPr>
        <w:t>自然资源海洋气象等支出</w:t>
      </w:r>
      <w:r>
        <w:rPr>
          <w:rFonts w:hint="eastAsia" w:ascii="仿宋" w:hAnsi="仿宋" w:eastAsia="仿宋" w:cs="Arial"/>
          <w:kern w:val="0"/>
          <w:sz w:val="32"/>
          <w:szCs w:val="32"/>
          <w:lang w:val="en-US" w:eastAsia="zh-CN"/>
        </w:rPr>
        <w:t>3641万元。</w:t>
      </w:r>
    </w:p>
    <w:p>
      <w:pPr>
        <w:spacing w:line="600" w:lineRule="exact"/>
        <w:ind w:firstLine="640" w:firstLineChars="200"/>
        <w:rPr>
          <w:rFonts w:hint="eastAsia" w:ascii="仿宋" w:hAnsi="仿宋" w:eastAsia="仿宋" w:cs="Arial"/>
          <w:kern w:val="0"/>
          <w:sz w:val="32"/>
          <w:szCs w:val="32"/>
          <w:lang w:eastAsia="zh-CN"/>
        </w:rPr>
      </w:pPr>
      <w:r>
        <w:rPr>
          <w:rFonts w:hint="eastAsia" w:ascii="仿宋" w:hAnsi="仿宋" w:eastAsia="仿宋" w:cs="Arial"/>
          <w:kern w:val="0"/>
          <w:sz w:val="32"/>
          <w:szCs w:val="32"/>
          <w:lang w:val="en-US" w:eastAsia="zh-CN"/>
        </w:rPr>
        <w:t>8</w:t>
      </w:r>
      <w:r>
        <w:rPr>
          <w:rFonts w:hint="eastAsia" w:ascii="仿宋" w:hAnsi="仿宋" w:eastAsia="仿宋" w:cs="Arial"/>
          <w:kern w:val="0"/>
          <w:sz w:val="32"/>
          <w:szCs w:val="32"/>
        </w:rPr>
        <w:t>.灾害防治及应急管理支出</w:t>
      </w:r>
      <w:r>
        <w:rPr>
          <w:rFonts w:hint="eastAsia" w:ascii="仿宋" w:hAnsi="仿宋" w:eastAsia="仿宋" w:cs="Arial"/>
          <w:kern w:val="0"/>
          <w:sz w:val="32"/>
          <w:szCs w:val="32"/>
          <w:lang w:val="en-US" w:eastAsia="zh-CN"/>
        </w:rPr>
        <w:t>670</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w:t>
      </w:r>
    </w:p>
    <w:p>
      <w:pPr>
        <w:spacing w:line="600" w:lineRule="exact"/>
        <w:ind w:firstLine="640" w:firstLineChars="200"/>
        <w:rPr>
          <w:rFonts w:hint="eastAsia" w:ascii="仿宋" w:hAnsi="仿宋" w:eastAsia="仿宋" w:cs="Arial"/>
          <w:kern w:val="0"/>
          <w:sz w:val="32"/>
          <w:szCs w:val="32"/>
          <w:lang w:eastAsia="zh-CN"/>
        </w:rPr>
      </w:pPr>
      <w:r>
        <w:rPr>
          <w:rFonts w:hint="eastAsia" w:ascii="仿宋" w:hAnsi="仿宋" w:eastAsia="仿宋" w:cs="Arial"/>
          <w:kern w:val="0"/>
          <w:sz w:val="32"/>
          <w:szCs w:val="32"/>
          <w:lang w:val="en-US" w:eastAsia="zh-CN"/>
        </w:rPr>
        <w:t>9</w:t>
      </w:r>
      <w:r>
        <w:rPr>
          <w:rFonts w:hint="eastAsia" w:ascii="仿宋" w:hAnsi="仿宋" w:eastAsia="仿宋" w:cs="Arial"/>
          <w:kern w:val="0"/>
          <w:sz w:val="32"/>
          <w:szCs w:val="32"/>
        </w:rPr>
        <w:t>.其他支出</w:t>
      </w:r>
      <w:r>
        <w:rPr>
          <w:rFonts w:hint="eastAsia" w:ascii="仿宋" w:hAnsi="仿宋" w:eastAsia="仿宋" w:cs="Arial"/>
          <w:kern w:val="0"/>
          <w:sz w:val="32"/>
          <w:szCs w:val="32"/>
          <w:lang w:val="en-US" w:eastAsia="zh-CN"/>
        </w:rPr>
        <w:t>7709</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三、举借政府债务情况</w:t>
      </w:r>
    </w:p>
    <w:p>
      <w:pPr>
        <w:pStyle w:val="14"/>
        <w:spacing w:line="600" w:lineRule="exact"/>
        <w:ind w:firstLine="616" w:firstLineChars="200"/>
        <w:rPr>
          <w:rFonts w:ascii="楷体" w:eastAsia="楷体" w:cs="楷体"/>
          <w:bCs/>
          <w:spacing w:val="-6"/>
          <w:szCs w:val="32"/>
        </w:rPr>
      </w:pPr>
      <w:r>
        <w:rPr>
          <w:rFonts w:hint="eastAsia" w:ascii="楷体" w:eastAsia="楷体" w:cs="楷体"/>
          <w:bCs/>
          <w:spacing w:val="-6"/>
          <w:szCs w:val="32"/>
        </w:rPr>
        <w:t>（一）政府债务规模情况</w:t>
      </w:r>
    </w:p>
    <w:p>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kern w:val="0"/>
          <w:sz w:val="32"/>
          <w:szCs w:val="32"/>
          <w:lang w:val="en-US" w:eastAsia="zh-CN"/>
        </w:rPr>
        <w:t>2024</w:t>
      </w:r>
      <w:r>
        <w:rPr>
          <w:rFonts w:hint="eastAsia" w:ascii="仿宋" w:hAnsi="仿宋" w:eastAsia="仿宋" w:cs="仿宋"/>
          <w:color w:val="000000"/>
          <w:sz w:val="32"/>
          <w:szCs w:val="32"/>
        </w:rPr>
        <w:t>年，省财政核定我市（县、区）政府债务限额</w:t>
      </w:r>
      <w:r>
        <w:rPr>
          <w:rFonts w:hint="eastAsia" w:ascii="仿宋" w:hAnsi="仿宋" w:eastAsia="仿宋"/>
          <w:kern w:val="0"/>
          <w:sz w:val="32"/>
          <w:szCs w:val="32"/>
        </w:rPr>
        <w:t>2856.64</w:t>
      </w:r>
      <w:r>
        <w:rPr>
          <w:rFonts w:hint="eastAsia" w:ascii="仿宋" w:hAnsi="仿宋" w:eastAsia="仿宋" w:cs="仿宋"/>
          <w:color w:val="000000"/>
          <w:sz w:val="32"/>
          <w:szCs w:val="32"/>
        </w:rPr>
        <w:t>亿元，其中，一般债务</w:t>
      </w:r>
      <w:r>
        <w:rPr>
          <w:rFonts w:hint="eastAsia" w:ascii="仿宋" w:hAnsi="仿宋" w:eastAsia="仿宋"/>
          <w:kern w:val="0"/>
          <w:sz w:val="32"/>
          <w:szCs w:val="32"/>
        </w:rPr>
        <w:t>560.55</w:t>
      </w:r>
      <w:r>
        <w:rPr>
          <w:rFonts w:hint="eastAsia" w:ascii="仿宋" w:hAnsi="仿宋" w:eastAsia="仿宋" w:cs="仿宋"/>
          <w:color w:val="000000"/>
          <w:sz w:val="32"/>
          <w:szCs w:val="32"/>
        </w:rPr>
        <w:t>亿元，专项债务</w:t>
      </w:r>
      <w:r>
        <w:rPr>
          <w:rFonts w:hint="eastAsia" w:ascii="仿宋" w:hAnsi="仿宋" w:eastAsia="仿宋"/>
          <w:kern w:val="0"/>
          <w:sz w:val="32"/>
          <w:szCs w:val="32"/>
        </w:rPr>
        <w:t>2296.09</w:t>
      </w:r>
      <w:r>
        <w:rPr>
          <w:rFonts w:hint="eastAsia" w:ascii="仿宋" w:hAnsi="仿宋" w:eastAsia="仿宋" w:cs="仿宋"/>
          <w:color w:val="000000"/>
          <w:sz w:val="32"/>
          <w:szCs w:val="32"/>
        </w:rPr>
        <w:t>亿元。截至</w:t>
      </w:r>
      <w:r>
        <w:rPr>
          <w:rFonts w:hint="eastAsia" w:ascii="仿宋" w:hAnsi="仿宋" w:eastAsia="仿宋"/>
          <w:kern w:val="0"/>
          <w:sz w:val="32"/>
          <w:szCs w:val="32"/>
          <w:lang w:val="en-US" w:eastAsia="zh-CN"/>
        </w:rPr>
        <w:t>2024</w:t>
      </w:r>
      <w:r>
        <w:rPr>
          <w:rFonts w:hint="eastAsia" w:ascii="仿宋" w:hAnsi="仿宋" w:eastAsia="仿宋" w:cs="仿宋"/>
          <w:color w:val="000000"/>
          <w:sz w:val="32"/>
          <w:szCs w:val="32"/>
        </w:rPr>
        <w:t>年末，全市（县、区）政府债务余额预计执行数</w:t>
      </w:r>
      <w:r>
        <w:rPr>
          <w:rFonts w:hint="eastAsia" w:ascii="仿宋" w:hAnsi="仿宋" w:eastAsia="仿宋"/>
          <w:kern w:val="0"/>
          <w:sz w:val="32"/>
          <w:szCs w:val="32"/>
        </w:rPr>
        <w:t>2760.</w:t>
      </w:r>
      <w:r>
        <w:rPr>
          <w:rFonts w:hint="eastAsia" w:ascii="仿宋" w:hAnsi="仿宋" w:eastAsia="仿宋"/>
          <w:kern w:val="0"/>
          <w:sz w:val="32"/>
          <w:szCs w:val="32"/>
          <w:lang w:val="en-US" w:eastAsia="zh-CN"/>
        </w:rPr>
        <w:t>69</w:t>
      </w:r>
      <w:r>
        <w:rPr>
          <w:rFonts w:hint="eastAsia" w:ascii="仿宋" w:hAnsi="仿宋" w:eastAsia="仿宋" w:cs="仿宋"/>
          <w:color w:val="000000"/>
          <w:sz w:val="32"/>
          <w:szCs w:val="32"/>
        </w:rPr>
        <w:t>亿元，其中：一般债务</w:t>
      </w:r>
      <w:r>
        <w:rPr>
          <w:rFonts w:hint="eastAsia" w:ascii="仿宋" w:hAnsi="仿宋" w:eastAsia="仿宋"/>
          <w:kern w:val="0"/>
          <w:sz w:val="32"/>
          <w:szCs w:val="32"/>
          <w:lang w:val="en-US" w:eastAsia="zh-CN"/>
        </w:rPr>
        <w:t>539.99</w:t>
      </w:r>
      <w:r>
        <w:rPr>
          <w:rFonts w:hint="eastAsia" w:ascii="仿宋" w:hAnsi="仿宋" w:eastAsia="仿宋" w:cs="仿宋"/>
          <w:color w:val="000000"/>
          <w:sz w:val="32"/>
          <w:szCs w:val="32"/>
        </w:rPr>
        <w:t>亿元、专项债务</w:t>
      </w:r>
      <w:r>
        <w:rPr>
          <w:rFonts w:hint="eastAsia" w:ascii="仿宋" w:hAnsi="仿宋" w:eastAsia="仿宋"/>
          <w:kern w:val="0"/>
          <w:sz w:val="32"/>
          <w:szCs w:val="32"/>
        </w:rPr>
        <w:t>2220.70</w:t>
      </w:r>
      <w:r>
        <w:rPr>
          <w:rFonts w:hint="eastAsia" w:ascii="仿宋" w:hAnsi="仿宋" w:eastAsia="仿宋" w:cs="仿宋"/>
          <w:color w:val="000000"/>
          <w:sz w:val="32"/>
          <w:szCs w:val="32"/>
        </w:rPr>
        <w:t>亿元，严格控制在核定的限额之内。</w:t>
      </w:r>
    </w:p>
    <w:p>
      <w:pPr>
        <w:pStyle w:val="14"/>
        <w:spacing w:line="600" w:lineRule="exact"/>
        <w:ind w:firstLineChars="200"/>
        <w:rPr>
          <w:rFonts w:ascii="楷体" w:eastAsia="楷体" w:cs="楷体"/>
          <w:bCs/>
          <w:spacing w:val="-6"/>
          <w:szCs w:val="32"/>
        </w:rPr>
      </w:pPr>
      <w:r>
        <w:rPr>
          <w:rFonts w:hint="eastAsia" w:ascii="仿宋" w:hAnsi="仿宋" w:eastAsia="仿宋" w:cs="仿宋"/>
          <w:color w:val="000000"/>
          <w:szCs w:val="32"/>
        </w:rPr>
        <w:t>本级政府债务限额1339.25亿元，其中，一般债务189.94亿元，专项债务1149.30亿元。截至</w:t>
      </w:r>
      <w:r>
        <w:rPr>
          <w:rFonts w:hint="eastAsia" w:ascii="仿宋" w:hAnsi="仿宋" w:eastAsia="仿宋" w:cs="仿宋"/>
          <w:color w:val="000000"/>
          <w:szCs w:val="32"/>
          <w:lang w:val="en-US" w:eastAsia="zh-CN"/>
        </w:rPr>
        <w:t>2024</w:t>
      </w:r>
      <w:r>
        <w:rPr>
          <w:rFonts w:hint="eastAsia" w:ascii="仿宋" w:hAnsi="仿宋" w:eastAsia="仿宋" w:cs="仿宋"/>
          <w:color w:val="000000"/>
          <w:szCs w:val="32"/>
        </w:rPr>
        <w:t>年末，政府债务余额预计执行数1290.</w:t>
      </w:r>
      <w:r>
        <w:rPr>
          <w:rFonts w:hint="eastAsia" w:ascii="仿宋" w:hAnsi="仿宋" w:eastAsia="仿宋" w:cs="仿宋"/>
          <w:color w:val="000000"/>
          <w:szCs w:val="32"/>
          <w:lang w:val="en-US" w:eastAsia="zh-CN"/>
        </w:rPr>
        <w:t>28</w:t>
      </w:r>
      <w:r>
        <w:rPr>
          <w:rFonts w:hint="eastAsia" w:ascii="仿宋" w:hAnsi="仿宋" w:eastAsia="仿宋" w:cs="仿宋"/>
          <w:color w:val="000000"/>
          <w:szCs w:val="32"/>
        </w:rPr>
        <w:t>亿元，其中：一般债务184.</w:t>
      </w:r>
      <w:r>
        <w:rPr>
          <w:rFonts w:hint="eastAsia" w:ascii="仿宋" w:hAnsi="仿宋" w:eastAsia="仿宋" w:cs="仿宋"/>
          <w:color w:val="000000"/>
          <w:szCs w:val="32"/>
          <w:lang w:val="en-US" w:eastAsia="zh-CN"/>
        </w:rPr>
        <w:t>07</w:t>
      </w:r>
      <w:r>
        <w:rPr>
          <w:rFonts w:hint="eastAsia" w:ascii="仿宋" w:hAnsi="仿宋" w:eastAsia="仿宋" w:cs="仿宋"/>
          <w:color w:val="000000"/>
          <w:szCs w:val="32"/>
        </w:rPr>
        <w:t>亿元、专项债务1106.21亿元，严格控制在核定的限额之内。</w:t>
      </w:r>
    </w:p>
    <w:p>
      <w:pPr>
        <w:pStyle w:val="14"/>
        <w:spacing w:line="600" w:lineRule="exact"/>
        <w:ind w:firstLine="619"/>
        <w:rPr>
          <w:rFonts w:ascii="仿宋" w:hAnsi="仿宋" w:eastAsia="仿宋" w:cs="仿宋"/>
          <w:bCs/>
          <w:color w:val="000000"/>
          <w:szCs w:val="32"/>
        </w:rPr>
      </w:pPr>
      <w:r>
        <w:rPr>
          <w:rFonts w:hint="eastAsia" w:ascii="楷体" w:eastAsia="楷体" w:cs="楷体"/>
          <w:bCs/>
          <w:spacing w:val="-6"/>
          <w:szCs w:val="32"/>
        </w:rPr>
        <w:t>（二）政府债券发行使用情况</w:t>
      </w:r>
    </w:p>
    <w:p>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lang w:val="en-US" w:eastAsia="zh-CN"/>
        </w:rPr>
        <w:t>2024</w:t>
      </w:r>
      <w:r>
        <w:rPr>
          <w:rFonts w:hint="eastAsia" w:ascii="仿宋" w:hAnsi="仿宋" w:eastAsia="仿宋" w:cs="仿宋"/>
          <w:color w:val="000000"/>
          <w:sz w:val="32"/>
          <w:szCs w:val="32"/>
        </w:rPr>
        <w:t>年，全市（县、区）由省级代为发行地方政府债券804.9</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亿元。其中：新增政府债</w:t>
      </w:r>
      <w:r>
        <w:rPr>
          <w:rFonts w:hint="eastAsia" w:ascii="仿宋" w:hAnsi="仿宋" w:eastAsia="仿宋" w:cs="仿宋"/>
          <w:color w:val="auto"/>
          <w:sz w:val="32"/>
          <w:szCs w:val="32"/>
        </w:rPr>
        <w:t>券</w:t>
      </w:r>
      <w:r>
        <w:rPr>
          <w:rFonts w:hint="eastAsia" w:ascii="仿宋" w:hAnsi="仿宋" w:eastAsia="仿宋" w:cs="仿宋"/>
          <w:color w:val="auto"/>
          <w:sz w:val="32"/>
          <w:szCs w:val="32"/>
          <w:lang w:val="en-US" w:eastAsia="zh-CN"/>
        </w:rPr>
        <w:t>488.90</w:t>
      </w:r>
      <w:r>
        <w:rPr>
          <w:rFonts w:hint="eastAsia" w:ascii="仿宋" w:hAnsi="仿宋" w:eastAsia="仿宋" w:cs="仿宋"/>
          <w:color w:val="000000"/>
          <w:sz w:val="32"/>
          <w:szCs w:val="32"/>
        </w:rPr>
        <w:t>亿元，用于</w:t>
      </w:r>
      <w:r>
        <w:rPr>
          <w:rFonts w:hint="eastAsia" w:ascii="仿宋" w:hAnsi="仿宋" w:eastAsia="仿宋" w:cs="Arial"/>
          <w:kern w:val="0"/>
          <w:sz w:val="32"/>
          <w:szCs w:val="32"/>
        </w:rPr>
        <w:t>轨道交通、公立医院、保障性住房、污水管网、产业园区基础设施建设等</w:t>
      </w:r>
      <w:r>
        <w:rPr>
          <w:rFonts w:hint="eastAsia" w:ascii="仿宋" w:hAnsi="仿宋" w:eastAsia="仿宋" w:cs="仿宋"/>
          <w:color w:val="000000"/>
          <w:sz w:val="32"/>
          <w:szCs w:val="32"/>
        </w:rPr>
        <w:t>；再融资债券</w:t>
      </w:r>
      <w:r>
        <w:rPr>
          <w:rFonts w:hint="eastAsia" w:ascii="仿宋" w:hAnsi="仿宋" w:eastAsia="仿宋" w:cs="仿宋"/>
          <w:color w:val="000000"/>
          <w:sz w:val="32"/>
          <w:szCs w:val="32"/>
          <w:lang w:val="en-US" w:eastAsia="zh-CN"/>
        </w:rPr>
        <w:t>316.07</w:t>
      </w:r>
      <w:r>
        <w:rPr>
          <w:rFonts w:hint="eastAsia" w:ascii="仿宋" w:hAnsi="仿宋" w:eastAsia="仿宋" w:cs="仿宋"/>
          <w:color w:val="000000"/>
          <w:sz w:val="32"/>
          <w:szCs w:val="32"/>
        </w:rPr>
        <w:t>亿元，用于偿还到期地方政府债券本金。</w:t>
      </w:r>
    </w:p>
    <w:p>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rPr>
        <w:t>本级举借新增地方政府债</w:t>
      </w:r>
      <w:r>
        <w:rPr>
          <w:rFonts w:hint="eastAsia" w:ascii="仿宋" w:hAnsi="仿宋" w:eastAsia="仿宋" w:cs="仿宋"/>
          <w:color w:val="auto"/>
          <w:sz w:val="32"/>
          <w:szCs w:val="32"/>
        </w:rPr>
        <w:t>券</w:t>
      </w:r>
      <w:r>
        <w:rPr>
          <w:rFonts w:hint="eastAsia" w:ascii="仿宋" w:hAnsi="仿宋" w:eastAsia="仿宋" w:cs="仿宋"/>
          <w:color w:val="auto"/>
          <w:sz w:val="32"/>
          <w:szCs w:val="32"/>
          <w:lang w:val="en-US" w:eastAsia="zh-CN"/>
        </w:rPr>
        <w:t>185</w:t>
      </w:r>
      <w:r>
        <w:rPr>
          <w:rFonts w:hint="eastAsia" w:ascii="仿宋" w:hAnsi="仿宋" w:eastAsia="仿宋" w:cs="仿宋"/>
          <w:color w:val="auto"/>
          <w:sz w:val="32"/>
          <w:szCs w:val="32"/>
        </w:rPr>
        <w:t>亿</w:t>
      </w:r>
      <w:r>
        <w:rPr>
          <w:rFonts w:hint="eastAsia" w:ascii="仿宋" w:hAnsi="仿宋" w:eastAsia="仿宋" w:cs="仿宋"/>
          <w:color w:val="000000"/>
          <w:sz w:val="32"/>
          <w:szCs w:val="32"/>
        </w:rPr>
        <w:t>元，用于</w:t>
      </w:r>
      <w:r>
        <w:rPr>
          <w:rFonts w:hint="eastAsia" w:ascii="仿宋" w:hAnsi="仿宋" w:eastAsia="仿宋" w:cs="仿宋"/>
          <w:color w:val="000000"/>
          <w:sz w:val="32"/>
          <w:szCs w:val="32"/>
          <w:lang w:eastAsia="zh-CN"/>
        </w:rPr>
        <w:t>公路、水利、</w:t>
      </w:r>
      <w:r>
        <w:rPr>
          <w:rFonts w:hint="eastAsia" w:ascii="仿宋" w:hAnsi="仿宋" w:eastAsia="仿宋" w:cs="Arial"/>
          <w:kern w:val="0"/>
          <w:sz w:val="32"/>
          <w:szCs w:val="32"/>
        </w:rPr>
        <w:t>公立医院</w:t>
      </w:r>
      <w:r>
        <w:rPr>
          <w:rFonts w:hint="eastAsia" w:ascii="仿宋" w:hAnsi="仿宋" w:eastAsia="仿宋" w:cs="仿宋"/>
          <w:color w:val="000000"/>
          <w:sz w:val="32"/>
          <w:szCs w:val="32"/>
          <w:lang w:eastAsia="zh-CN"/>
        </w:rPr>
        <w:t>、文化旅游、</w:t>
      </w:r>
      <w:r>
        <w:rPr>
          <w:rFonts w:hint="eastAsia" w:ascii="仿宋" w:hAnsi="仿宋" w:eastAsia="仿宋" w:cs="仿宋"/>
          <w:color w:val="000000"/>
          <w:sz w:val="32"/>
          <w:szCs w:val="32"/>
        </w:rPr>
        <w:t>市政、公共服务等民生领域信息化等。本级举借再融资债券</w:t>
      </w:r>
      <w:r>
        <w:rPr>
          <w:rFonts w:hint="eastAsia" w:ascii="仿宋" w:hAnsi="仿宋" w:eastAsia="仿宋" w:cs="仿宋"/>
          <w:color w:val="000000"/>
          <w:sz w:val="32"/>
          <w:szCs w:val="32"/>
          <w:lang w:val="en-US" w:eastAsia="zh-CN"/>
        </w:rPr>
        <w:t>161.30</w:t>
      </w:r>
      <w:r>
        <w:rPr>
          <w:rFonts w:hint="eastAsia" w:ascii="仿宋" w:hAnsi="仿宋" w:eastAsia="仿宋" w:cs="仿宋"/>
          <w:color w:val="000000"/>
          <w:sz w:val="32"/>
          <w:szCs w:val="32"/>
        </w:rPr>
        <w:t>亿元，用于偿还到期地方政府债券本金。</w:t>
      </w:r>
    </w:p>
    <w:p>
      <w:pPr>
        <w:pStyle w:val="14"/>
        <w:spacing w:line="600" w:lineRule="exact"/>
        <w:ind w:firstLine="619"/>
        <w:rPr>
          <w:rFonts w:ascii="楷体" w:eastAsia="楷体" w:cs="楷体"/>
          <w:bCs/>
          <w:spacing w:val="-6"/>
          <w:szCs w:val="32"/>
        </w:rPr>
      </w:pPr>
      <w:r>
        <w:rPr>
          <w:rFonts w:hint="eastAsia" w:ascii="楷体" w:eastAsia="楷体" w:cs="楷体"/>
          <w:bCs/>
          <w:spacing w:val="-6"/>
          <w:szCs w:val="32"/>
        </w:rPr>
        <w:t>（三）政府债务还本付息情况</w:t>
      </w:r>
    </w:p>
    <w:p>
      <w:pPr>
        <w:pStyle w:val="14"/>
        <w:spacing w:line="600" w:lineRule="exact"/>
        <w:ind w:firstLineChars="200"/>
        <w:rPr>
          <w:rFonts w:ascii="仿宋" w:hAnsi="仿宋" w:eastAsia="仿宋" w:cs="仿宋"/>
          <w:color w:val="000000"/>
          <w:szCs w:val="32"/>
        </w:rPr>
      </w:pPr>
      <w:r>
        <w:rPr>
          <w:rFonts w:hint="eastAsia" w:ascii="仿宋" w:hAnsi="仿宋" w:eastAsia="仿宋" w:cs="仿宋"/>
          <w:color w:val="auto"/>
          <w:szCs w:val="32"/>
          <w:lang w:val="en-US" w:eastAsia="zh-CN"/>
        </w:rPr>
        <w:t>2024</w:t>
      </w:r>
      <w:r>
        <w:rPr>
          <w:rFonts w:hint="eastAsia" w:ascii="仿宋" w:hAnsi="仿宋" w:eastAsia="仿宋" w:cs="仿宋"/>
          <w:color w:val="auto"/>
          <w:szCs w:val="32"/>
        </w:rPr>
        <w:t>年，全市（县、区）偿还政府债券本</w:t>
      </w:r>
      <w:r>
        <w:rPr>
          <w:rFonts w:hint="eastAsia" w:ascii="仿宋" w:hAnsi="仿宋" w:eastAsia="仿宋" w:cs="仿宋"/>
          <w:color w:val="auto"/>
          <w:spacing w:val="-6"/>
          <w:szCs w:val="32"/>
        </w:rPr>
        <w:t>息</w:t>
      </w:r>
      <w:r>
        <w:rPr>
          <w:rFonts w:hint="eastAsia" w:ascii="仿宋" w:hAnsi="仿宋" w:eastAsia="仿宋" w:cs="仿宋"/>
          <w:color w:val="auto"/>
          <w:spacing w:val="-6"/>
          <w:szCs w:val="32"/>
          <w:lang w:val="en-US" w:eastAsia="zh-CN"/>
        </w:rPr>
        <w:t>315.89</w:t>
      </w:r>
      <w:r>
        <w:rPr>
          <w:rFonts w:hint="eastAsia" w:ascii="仿宋" w:hAnsi="仿宋" w:eastAsia="仿宋" w:cs="仿宋"/>
          <w:color w:val="auto"/>
          <w:spacing w:val="-6"/>
          <w:szCs w:val="32"/>
        </w:rPr>
        <w:t>亿元，其中：本金</w:t>
      </w:r>
      <w:r>
        <w:rPr>
          <w:rFonts w:hint="eastAsia" w:ascii="仿宋" w:hAnsi="仿宋" w:eastAsia="仿宋" w:cs="仿宋"/>
          <w:color w:val="auto"/>
          <w:spacing w:val="-6"/>
          <w:szCs w:val="32"/>
          <w:lang w:val="en-US" w:eastAsia="zh-CN"/>
        </w:rPr>
        <w:t>240.48</w:t>
      </w:r>
      <w:r>
        <w:rPr>
          <w:rFonts w:hint="eastAsia" w:ascii="仿宋" w:hAnsi="仿宋" w:eastAsia="仿宋" w:cs="仿宋"/>
          <w:color w:val="auto"/>
          <w:spacing w:val="-6"/>
          <w:szCs w:val="32"/>
        </w:rPr>
        <w:t>亿元、利息</w:t>
      </w:r>
      <w:r>
        <w:rPr>
          <w:rFonts w:hint="eastAsia" w:ascii="仿宋" w:hAnsi="仿宋" w:eastAsia="仿宋" w:cs="仿宋"/>
          <w:color w:val="auto"/>
          <w:spacing w:val="-6"/>
          <w:szCs w:val="32"/>
          <w:lang w:val="en-US" w:eastAsia="zh-CN"/>
        </w:rPr>
        <w:t>75.41</w:t>
      </w:r>
      <w:r>
        <w:rPr>
          <w:rFonts w:hint="eastAsia" w:ascii="仿宋" w:hAnsi="仿宋" w:eastAsia="仿宋" w:cs="仿宋"/>
          <w:color w:val="auto"/>
          <w:spacing w:val="-6"/>
          <w:szCs w:val="32"/>
        </w:rPr>
        <w:t>亿元。本级</w:t>
      </w:r>
      <w:r>
        <w:rPr>
          <w:rFonts w:hint="eastAsia" w:ascii="仿宋" w:hAnsi="仿宋" w:eastAsia="仿宋" w:cs="仿宋"/>
          <w:color w:val="auto"/>
          <w:szCs w:val="32"/>
        </w:rPr>
        <w:t>偿还政府债券本</w:t>
      </w:r>
      <w:r>
        <w:rPr>
          <w:rFonts w:hint="eastAsia" w:ascii="仿宋" w:hAnsi="仿宋" w:eastAsia="仿宋" w:cs="仿宋"/>
          <w:color w:val="auto"/>
          <w:spacing w:val="-6"/>
          <w:szCs w:val="32"/>
        </w:rPr>
        <w:t>息</w:t>
      </w:r>
      <w:r>
        <w:rPr>
          <w:rFonts w:hint="eastAsia" w:ascii="仿宋" w:hAnsi="仿宋" w:eastAsia="仿宋" w:cs="仿宋"/>
          <w:color w:val="auto"/>
          <w:spacing w:val="-6"/>
          <w:szCs w:val="32"/>
          <w:lang w:val="en-US" w:eastAsia="zh-CN"/>
        </w:rPr>
        <w:t>172.15</w:t>
      </w:r>
      <w:r>
        <w:rPr>
          <w:rFonts w:hint="eastAsia" w:ascii="仿宋" w:hAnsi="仿宋" w:eastAsia="仿宋" w:cs="仿宋"/>
          <w:color w:val="auto"/>
          <w:spacing w:val="-6"/>
          <w:szCs w:val="32"/>
        </w:rPr>
        <w:t>亿元，其中：本金</w:t>
      </w:r>
      <w:r>
        <w:rPr>
          <w:rFonts w:hint="eastAsia" w:ascii="仿宋" w:hAnsi="仿宋" w:eastAsia="仿宋" w:cs="仿宋"/>
          <w:color w:val="auto"/>
          <w:spacing w:val="-6"/>
          <w:szCs w:val="32"/>
          <w:lang w:val="en-US" w:eastAsia="zh-CN"/>
        </w:rPr>
        <w:t>134.35</w:t>
      </w:r>
      <w:r>
        <w:rPr>
          <w:rFonts w:hint="eastAsia" w:ascii="仿宋" w:hAnsi="仿宋" w:eastAsia="仿宋" w:cs="仿宋"/>
          <w:color w:val="auto"/>
          <w:spacing w:val="-6"/>
          <w:szCs w:val="32"/>
        </w:rPr>
        <w:t>亿元、利息</w:t>
      </w:r>
      <w:r>
        <w:rPr>
          <w:rFonts w:hint="eastAsia" w:ascii="仿宋" w:hAnsi="仿宋" w:eastAsia="仿宋" w:cs="仿宋"/>
          <w:color w:val="auto"/>
          <w:spacing w:val="-6"/>
          <w:szCs w:val="32"/>
          <w:lang w:val="en-US" w:eastAsia="zh-CN"/>
        </w:rPr>
        <w:t>37.8</w:t>
      </w:r>
      <w:r>
        <w:rPr>
          <w:rFonts w:hint="eastAsia" w:ascii="仿宋" w:hAnsi="仿宋" w:eastAsia="仿宋" w:cs="仿宋"/>
          <w:color w:val="auto"/>
          <w:szCs w:val="32"/>
        </w:rPr>
        <w:t>亿元。（上年度）</w:t>
      </w:r>
    </w:p>
    <w:p>
      <w:pPr>
        <w:pStyle w:val="14"/>
        <w:spacing w:line="600" w:lineRule="exact"/>
        <w:ind w:firstLineChars="200"/>
        <w:rPr>
          <w:rFonts w:ascii="仿宋" w:hAnsi="仿宋" w:eastAsia="仿宋" w:cs="仿宋"/>
          <w:spacing w:val="-6"/>
          <w:szCs w:val="32"/>
        </w:rPr>
      </w:pPr>
      <w:r>
        <w:rPr>
          <w:rFonts w:hint="eastAsia" w:ascii="仿宋" w:hAnsi="仿宋" w:eastAsia="仿宋" w:cs="仿宋"/>
          <w:color w:val="auto"/>
          <w:szCs w:val="32"/>
          <w:lang w:val="en-US" w:eastAsia="zh-CN"/>
        </w:rPr>
        <w:t>2025</w:t>
      </w:r>
      <w:r>
        <w:rPr>
          <w:rFonts w:hint="eastAsia" w:ascii="仿宋" w:hAnsi="仿宋" w:eastAsia="仿宋" w:cs="仿宋"/>
          <w:color w:val="auto"/>
          <w:szCs w:val="32"/>
        </w:rPr>
        <w:t>年，全</w:t>
      </w:r>
      <w:r>
        <w:rPr>
          <w:rFonts w:hint="eastAsia" w:ascii="仿宋" w:hAnsi="仿宋" w:eastAsia="仿宋" w:cs="仿宋"/>
          <w:color w:val="000000"/>
          <w:szCs w:val="32"/>
        </w:rPr>
        <w:t>市（县、区）应偿还政府债券本息</w:t>
      </w:r>
      <w:r>
        <w:rPr>
          <w:rFonts w:hint="eastAsia" w:ascii="仿宋" w:hAnsi="仿宋" w:eastAsia="仿宋" w:cs="仿宋"/>
          <w:color w:val="000000"/>
          <w:szCs w:val="32"/>
          <w:lang w:val="en-US" w:eastAsia="zh-CN"/>
        </w:rPr>
        <w:t>190.48</w:t>
      </w:r>
      <w:r>
        <w:rPr>
          <w:rFonts w:hint="eastAsia" w:ascii="仿宋" w:hAnsi="仿宋" w:eastAsia="仿宋" w:cs="仿宋"/>
          <w:color w:val="000000"/>
          <w:szCs w:val="32"/>
        </w:rPr>
        <w:t>亿元，其中：本金</w:t>
      </w:r>
      <w:r>
        <w:rPr>
          <w:rFonts w:hint="eastAsia" w:ascii="仿宋" w:hAnsi="仿宋" w:eastAsia="仿宋" w:cs="仿宋"/>
          <w:color w:val="000000"/>
          <w:szCs w:val="32"/>
          <w:lang w:val="en-US" w:eastAsia="zh-CN"/>
        </w:rPr>
        <w:t>84.66</w:t>
      </w:r>
      <w:r>
        <w:rPr>
          <w:rFonts w:hint="eastAsia" w:ascii="仿宋" w:hAnsi="仿宋" w:eastAsia="仿宋" w:cs="仿宋"/>
          <w:color w:val="000000"/>
          <w:szCs w:val="32"/>
        </w:rPr>
        <w:t>亿元、利息</w:t>
      </w:r>
      <w:r>
        <w:rPr>
          <w:rFonts w:hint="eastAsia" w:ascii="仿宋" w:hAnsi="仿宋" w:eastAsia="仿宋" w:cs="仿宋"/>
          <w:color w:val="000000"/>
          <w:szCs w:val="32"/>
          <w:lang w:val="en-US" w:eastAsia="zh-CN"/>
        </w:rPr>
        <w:t>105.82</w:t>
      </w:r>
      <w:r>
        <w:rPr>
          <w:rFonts w:hint="eastAsia" w:ascii="仿宋" w:hAnsi="仿宋" w:eastAsia="仿宋" w:cs="仿宋"/>
          <w:color w:val="000000"/>
          <w:szCs w:val="32"/>
        </w:rPr>
        <w:t>亿元。本级应偿还政府债券本息</w:t>
      </w:r>
      <w:r>
        <w:rPr>
          <w:rFonts w:hint="eastAsia" w:ascii="仿宋" w:hAnsi="仿宋" w:eastAsia="仿宋" w:cs="仿宋"/>
          <w:color w:val="000000"/>
          <w:szCs w:val="32"/>
          <w:lang w:val="en-US" w:eastAsia="zh-CN"/>
        </w:rPr>
        <w:t>82.24</w:t>
      </w:r>
      <w:r>
        <w:rPr>
          <w:rFonts w:hint="eastAsia" w:ascii="仿宋" w:hAnsi="仿宋" w:eastAsia="仿宋" w:cs="仿宋"/>
          <w:color w:val="000000"/>
          <w:szCs w:val="32"/>
        </w:rPr>
        <w:t>亿元，其中：本金</w:t>
      </w:r>
      <w:r>
        <w:rPr>
          <w:rFonts w:hint="eastAsia" w:ascii="仿宋" w:hAnsi="仿宋" w:eastAsia="仿宋" w:cs="仿宋"/>
          <w:color w:val="000000"/>
          <w:szCs w:val="32"/>
          <w:lang w:val="en-US" w:eastAsia="zh-CN"/>
        </w:rPr>
        <w:t>38.46</w:t>
      </w:r>
      <w:r>
        <w:rPr>
          <w:rFonts w:hint="eastAsia" w:ascii="仿宋" w:hAnsi="仿宋" w:eastAsia="仿宋" w:cs="仿宋"/>
          <w:color w:val="000000"/>
          <w:szCs w:val="32"/>
        </w:rPr>
        <w:t>亿元、利息</w:t>
      </w:r>
      <w:r>
        <w:rPr>
          <w:rFonts w:hint="eastAsia" w:ascii="仿宋" w:hAnsi="仿宋" w:eastAsia="仿宋" w:cs="仿宋"/>
          <w:color w:val="000000"/>
          <w:szCs w:val="32"/>
          <w:lang w:val="en-US" w:eastAsia="zh-CN"/>
        </w:rPr>
        <w:t>43.78</w:t>
      </w:r>
      <w:r>
        <w:rPr>
          <w:rFonts w:hint="eastAsia" w:ascii="仿宋" w:hAnsi="仿宋" w:eastAsia="仿宋" w:cs="仿宋"/>
          <w:color w:val="000000"/>
          <w:szCs w:val="32"/>
        </w:rPr>
        <w:t>亿元。（本年度）</w:t>
      </w:r>
      <w:r>
        <w:rPr>
          <w:rFonts w:hint="eastAsia" w:ascii="仿宋" w:hAnsi="仿宋" w:eastAsia="仿宋" w:cs="仿宋"/>
          <w:spacing w:val="-6"/>
          <w:szCs w:val="32"/>
        </w:rPr>
        <w:t xml:space="preserve"> </w:t>
      </w:r>
    </w:p>
    <w:p>
      <w:pPr>
        <w:pStyle w:val="14"/>
        <w:spacing w:line="600" w:lineRule="exact"/>
        <w:ind w:firstLine="619"/>
        <w:rPr>
          <w:rFonts w:ascii="楷体" w:eastAsia="楷体" w:cs="楷体"/>
          <w:bCs/>
          <w:spacing w:val="-6"/>
          <w:szCs w:val="32"/>
        </w:rPr>
      </w:pPr>
      <w:r>
        <w:rPr>
          <w:rFonts w:hint="eastAsia" w:ascii="楷体" w:eastAsia="楷体" w:cs="楷体"/>
          <w:bCs/>
          <w:spacing w:val="-6"/>
          <w:szCs w:val="32"/>
        </w:rPr>
        <w:t>（四）新增债务限额安排使用情况（本年度）</w:t>
      </w:r>
    </w:p>
    <w:p>
      <w:pPr>
        <w:pStyle w:val="14"/>
        <w:spacing w:line="600" w:lineRule="exact"/>
        <w:ind w:firstLine="616" w:firstLineChars="200"/>
        <w:rPr>
          <w:rFonts w:hint="eastAsia" w:ascii="仿宋" w:hAnsi="仿宋" w:eastAsia="仿宋" w:cs="仿宋"/>
          <w:spacing w:val="-6"/>
          <w:szCs w:val="32"/>
          <w:lang w:eastAsia="zh-CN"/>
        </w:rPr>
      </w:pPr>
      <w:r>
        <w:rPr>
          <w:rFonts w:hint="eastAsia" w:ascii="仿宋" w:hAnsi="仿宋" w:eastAsia="仿宋" w:cs="仿宋"/>
          <w:spacing w:val="-6"/>
          <w:szCs w:val="32"/>
          <w:lang w:val="en-US" w:eastAsia="zh-CN"/>
        </w:rPr>
        <w:t>目前2025</w:t>
      </w:r>
      <w:r>
        <w:rPr>
          <w:rFonts w:hint="eastAsia" w:ascii="仿宋" w:hAnsi="仿宋" w:eastAsia="仿宋" w:cs="仿宋"/>
          <w:spacing w:val="-6"/>
          <w:szCs w:val="32"/>
        </w:rPr>
        <w:t>年省财政</w:t>
      </w:r>
      <w:r>
        <w:rPr>
          <w:rFonts w:hint="eastAsia" w:ascii="仿宋" w:hAnsi="仿宋" w:eastAsia="仿宋" w:cs="仿宋"/>
          <w:spacing w:val="-6"/>
          <w:szCs w:val="32"/>
          <w:lang w:eastAsia="zh-CN"/>
        </w:rPr>
        <w:t>拟</w:t>
      </w:r>
      <w:r>
        <w:rPr>
          <w:rFonts w:hint="eastAsia" w:ascii="仿宋" w:hAnsi="仿宋" w:eastAsia="仿宋" w:cs="仿宋"/>
          <w:spacing w:val="-6"/>
          <w:szCs w:val="32"/>
        </w:rPr>
        <w:t>下达我</w:t>
      </w:r>
      <w:r>
        <w:rPr>
          <w:rFonts w:hint="eastAsia" w:ascii="仿宋" w:hAnsi="仿宋" w:eastAsia="仿宋" w:cs="仿宋"/>
          <w:color w:val="000000"/>
          <w:szCs w:val="32"/>
        </w:rPr>
        <w:t>市</w:t>
      </w:r>
      <w:r>
        <w:rPr>
          <w:rFonts w:hint="eastAsia" w:ascii="仿宋" w:hAnsi="仿宋" w:eastAsia="仿宋" w:cs="仿宋"/>
          <w:spacing w:val="-6"/>
          <w:szCs w:val="32"/>
        </w:rPr>
        <w:t>新增债务限额</w:t>
      </w:r>
      <w:r>
        <w:rPr>
          <w:rFonts w:hint="eastAsia" w:ascii="仿宋" w:hAnsi="仿宋" w:eastAsia="仿宋" w:cs="仿宋"/>
          <w:spacing w:val="-6"/>
          <w:szCs w:val="32"/>
          <w:lang w:eastAsia="zh-CN"/>
        </w:rPr>
        <w:t>尚未明确</w:t>
      </w:r>
      <w:r>
        <w:rPr>
          <w:rFonts w:hint="eastAsia" w:ascii="仿宋" w:hAnsi="仿宋" w:eastAsia="仿宋" w:cs="仿宋"/>
          <w:spacing w:val="-6"/>
          <w:szCs w:val="32"/>
        </w:rPr>
        <w:t>，</w:t>
      </w:r>
      <w:r>
        <w:rPr>
          <w:rFonts w:hint="eastAsia" w:ascii="仿宋" w:hAnsi="仿宋" w:eastAsia="仿宋" w:cs="仿宋"/>
          <w:spacing w:val="-6"/>
          <w:szCs w:val="32"/>
          <w:lang w:eastAsia="zh-CN"/>
        </w:rPr>
        <w:t>待</w:t>
      </w:r>
      <w:r>
        <w:rPr>
          <w:rFonts w:hint="eastAsia" w:ascii="仿宋" w:hAnsi="仿宋" w:eastAsia="仿宋" w:cs="仿宋"/>
          <w:spacing w:val="-6"/>
          <w:szCs w:val="32"/>
        </w:rPr>
        <w:t>省财政</w:t>
      </w:r>
      <w:r>
        <w:rPr>
          <w:rFonts w:hint="eastAsia" w:ascii="仿宋" w:hAnsi="仿宋" w:eastAsia="仿宋" w:cs="仿宋"/>
          <w:spacing w:val="-6"/>
          <w:szCs w:val="32"/>
          <w:lang w:eastAsia="zh-CN"/>
        </w:rPr>
        <w:t>厅下达后，及时予以公开。</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四、重大政策和重点项目绩效目标</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重大政策和重点项目等绩效目标详见附件。</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五、关于202</w:t>
      </w:r>
      <w:r>
        <w:rPr>
          <w:rFonts w:hint="eastAsia" w:ascii="黑体" w:hAnsi="黑体" w:eastAsia="黑体"/>
          <w:sz w:val="32"/>
          <w:szCs w:val="32"/>
          <w:lang w:val="en-US" w:eastAsia="zh-CN"/>
        </w:rPr>
        <w:t>5</w:t>
      </w:r>
      <w:r>
        <w:rPr>
          <w:rFonts w:hint="eastAsia" w:ascii="黑体" w:hAnsi="黑体" w:eastAsia="黑体"/>
          <w:sz w:val="32"/>
          <w:szCs w:val="32"/>
        </w:rPr>
        <w:t>年预算报告（名词解释）</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1.一般公共预算总收入：包括地方一般公共预算收入和上划中央收入。</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2.地方一般公共预算收入与一般公共预算支出：地方一般公共预算收入，是按照财政部规定的统一科目和口径统计的收入，包括地方固定收入以及中央与地方共享收入中地方所得部分。</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一般公共预算支出，是相对于地方一般公共预算收入的一个概念，是指国家对地方一般公共预算收入有计划的分配和使用而安排的支出。按政府主要职能活动分为“类”、“款”、“项”、“目”四个级次，具体划分由财政部统一规定。</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3.上划中央收入：指按分税制计算，地方上划中央的税收收入部分，包含增值税50％、消费税100％、车辆购置税100%、企业所得税60％和个人所得税60％。</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4.“政采贷”：即“政府采购合同融资贷款”，是金融机构以中小企业的诚信考量和信用审查为基础，基于其取得并提供的政府采购合同，按优惠贷款利率直接向中小企业发放贷款的融资方式。</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5.民生支出：指一般公共预算支出中用于支持保障和改善民生方面的支出，包括与人民群众生活直接相关的教育、卫生健康、社会保障和就业、住房保障、文化旅游体育与传媒方面的支出，以及农林水、交通运输、节能环保、城乡社区事务等与民生密切相关的支出。</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6.一般公共预算教育支出“两个只增不减”：指一般公共预算教育支出逐年只增不减，按在校学生人数平均的一般公共预算教育支出逐年只增不减。</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7.地方政府债券：由省级以上地方政府发行的用于公益性项目支出的债券（省级以下政府由省级代发）。举借地方政府债券规模，即债务限额由国务院报全国人民代表大会或者全国人民代表大会常务委员会批准。省、自治区、直辖市依照国务院下达的限额举借债务，报本级人民代表大会常务委员会批准并下达市、县区债务限额。</w:t>
      </w:r>
    </w:p>
    <w:p>
      <w:pPr>
        <w:spacing w:line="600" w:lineRule="exact"/>
        <w:ind w:firstLine="640" w:firstLineChars="200"/>
        <w:rPr>
          <w:rFonts w:hint="eastAsia" w:ascii="仿宋" w:hAnsi="仿宋" w:eastAsia="仿宋" w:cs="Arial"/>
          <w:kern w:val="0"/>
          <w:sz w:val="32"/>
          <w:szCs w:val="32"/>
          <w:lang w:val="zh-CN" w:eastAsia="zh-CN"/>
        </w:rPr>
      </w:pPr>
      <w:r>
        <w:rPr>
          <w:rFonts w:hint="eastAsia" w:ascii="仿宋" w:hAnsi="仿宋" w:eastAsia="仿宋" w:cs="Arial"/>
          <w:kern w:val="0"/>
          <w:sz w:val="32"/>
          <w:szCs w:val="32"/>
          <w:lang w:val="en-US" w:eastAsia="zh-CN"/>
        </w:rPr>
        <w:t>8.一般债券和专项债券：</w:t>
      </w:r>
      <w:r>
        <w:rPr>
          <w:rFonts w:hint="eastAsia" w:ascii="仿宋" w:hAnsi="仿宋" w:eastAsia="仿宋" w:cs="Arial"/>
          <w:kern w:val="0"/>
          <w:sz w:val="32"/>
          <w:szCs w:val="32"/>
          <w:lang w:val="zh-CN" w:eastAsia="zh-CN"/>
        </w:rPr>
        <w:t>一般债券是指地方政府为没有收益的公益性资本项目发行的、以一般公共预算收入还本付息的政府债券。</w:t>
      </w:r>
    </w:p>
    <w:p>
      <w:pPr>
        <w:spacing w:line="600" w:lineRule="exact"/>
        <w:ind w:firstLine="640" w:firstLineChars="200"/>
        <w:rPr>
          <w:rFonts w:hint="eastAsia" w:ascii="仿宋" w:hAnsi="仿宋" w:eastAsia="仿宋" w:cs="Arial"/>
          <w:kern w:val="0"/>
          <w:sz w:val="32"/>
          <w:szCs w:val="32"/>
          <w:lang w:val="zh-CN" w:eastAsia="zh-CN"/>
        </w:rPr>
      </w:pPr>
      <w:r>
        <w:rPr>
          <w:rFonts w:hint="eastAsia" w:ascii="仿宋" w:hAnsi="仿宋" w:eastAsia="仿宋" w:cs="Arial"/>
          <w:kern w:val="0"/>
          <w:sz w:val="32"/>
          <w:szCs w:val="32"/>
          <w:lang w:val="zh-CN" w:eastAsia="zh-CN"/>
        </w:rPr>
        <w:t>专项债券是指地方政府为有一定收益的公益性项目发行的、约定一定期限内以项目对应的政府性基金或专项收入还本付息的政府债券。</w:t>
      </w:r>
    </w:p>
    <w:p>
      <w:pPr>
        <w:spacing w:line="600" w:lineRule="exact"/>
        <w:ind w:firstLine="640" w:firstLineChars="200"/>
        <w:rPr>
          <w:rFonts w:hint="default"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9.特殊再融资债券：再融资债券是指发行募集资金用于偿还部分到期地方政府债券本金的债券。再融资债券用于借新还旧，发行规模等于或小于原债券到期规模，与到期债券一一对应，不能直接用于项目建设，也不增加地方政府债务余额。相较于普通再融资债券，特殊再融资债券主要用于置换隐性债务，会增加地方政府债务余额，发行规模受到区域债务限额的限制。</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10.“三保”支出：指保基本民生、保工资、保运转支出。</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11.预算稳定调节基金：指为实现宏观调控目标，保持年度间政府预算的衔接和稳定，各级一般公共预算设置的储备性资金。各级政府性基金预算、国有资本经营预算和社会保险基金预算不得设置预算稳定调节基金。</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12.“三公”经费：“三公”经费指财政按照有关规定，通过财政拨款安排给相关部门及其所属单位，用于因公出国（境）、公务用车购置及运行和公务接待费等方面的支出。其中，公务用车包括机要通信用车、应急保障用车、执法执勤员用车、特种专业技术用车以及其他按照规定配备的公务用车。</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13.预备费：根据预算法规定，各级一般公共预算应当按本级一般公共预算支出额的1%-3%设置预备费，用于当年预算执行中的自然灾害等突发事件处理增加的支出及其他难以预见的支出。</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14.增发国债：为支持灾后恢复重建和弥补防灾减灾救灾短板，2023年，中央财政在第四季度增发国债1万亿元，其中2023年安排使用5000亿元，结转2024年使用5000亿元。增发国债资金全部列为中央财政赤字，还本付息由中央承担，不增加地方偿还负担，全部通过转移支付方式安排给地方使用。</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15.超长期特别国债：指发行期限在10年以上的，为特定目标发行的、具有明确用途的国债，利息由中央财政承担，本金根据项目性质确定中央和地方偿还责任。中央财政从2024年开始拟连续几年发行超长期特别国债，专项用于国家重大战略实施和重点领域安全能力建设（“两重”）以及大规模设备更新和消费品以旧换新（“两新”）等，2024年先发行1万亿元。</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16.事前预算绩效评估：是指部门运用科学合理的评估方法，从立项必要性、投入经济性、绩效目标合理性、实施方案可行性、筹资合规性以及财政支出有效性等方面，对新出台的重大政策和项目进行客观、公正的评估。</w:t>
      </w:r>
    </w:p>
    <w:p>
      <w:pPr>
        <w:spacing w:line="600" w:lineRule="exact"/>
        <w:ind w:firstLine="640" w:firstLineChars="200"/>
        <w:rPr>
          <w:rFonts w:hint="eastAsia" w:ascii="仿宋" w:hAnsi="仿宋" w:eastAsia="仿宋" w:cs="Arial"/>
          <w:kern w:val="0"/>
          <w:sz w:val="32"/>
          <w:szCs w:val="32"/>
          <w:lang w:val="en-US" w:eastAsia="zh-CN"/>
        </w:rPr>
      </w:pPr>
      <w:r>
        <w:rPr>
          <w:rFonts w:hint="eastAsia" w:ascii="仿宋" w:hAnsi="仿宋" w:eastAsia="仿宋" w:cs="Arial"/>
          <w:kern w:val="0"/>
          <w:sz w:val="32"/>
          <w:szCs w:val="32"/>
          <w:lang w:val="en-US" w:eastAsia="zh-CN"/>
        </w:rPr>
        <w:t>17.财会监督：是指依法依规对国家机关、企事业单位、其他组织和个人的财政、财务、会计活动实施的监督。强化财会监督与人大监督、民主监督的配合协同，增强与行政、司法、审计、统计监督的协同性和联动性，逐步构建起财政部门、有关部门、各单位、中介机构、行业协会等监督主体的横向协同工作机制，形成监督合力。</w:t>
      </w:r>
    </w:p>
    <w:p>
      <w:pPr>
        <w:spacing w:line="600" w:lineRule="exact"/>
        <w:ind w:firstLine="640" w:firstLineChars="200"/>
        <w:rPr>
          <w:rFonts w:hint="eastAsia" w:ascii="仿宋" w:hAnsi="仿宋" w:eastAsia="仿宋" w:cs="Arial"/>
          <w:kern w:val="0"/>
          <w:sz w:val="32"/>
          <w:szCs w:val="32"/>
          <w:lang w:val="zh-CN" w:eastAsia="zh-CN"/>
        </w:rPr>
      </w:pPr>
    </w:p>
    <w:p>
      <w:pPr>
        <w:spacing w:line="600" w:lineRule="exact"/>
        <w:ind w:firstLine="640" w:firstLineChars="200"/>
        <w:rPr>
          <w:rFonts w:ascii="黑体" w:hAnsi="黑体" w:eastAsia="黑体"/>
          <w:sz w:val="32"/>
          <w:szCs w:val="32"/>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7038956"/>
      <w:docPartObj>
        <w:docPartGallery w:val="autotext"/>
      </w:docPartObj>
    </w:sdtPr>
    <w:sdtEndPr>
      <w:rPr>
        <w:rFonts w:ascii="宋体" w:hAnsi="宋体" w:eastAsia="宋体"/>
        <w:sz w:val="28"/>
        <w:szCs w:val="28"/>
      </w:rPr>
    </w:sdtEndPr>
    <w:sdtContent>
      <w:p>
        <w:pPr>
          <w:pStyle w:val="7"/>
          <w:wordWrap w:val="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9288864"/>
      <w:docPartObj>
        <w:docPartGallery w:val="autotext"/>
      </w:docPartObj>
    </w:sdtPr>
    <w:sdtEndPr>
      <w:rPr>
        <w:rFonts w:ascii="宋体" w:hAnsi="宋体" w:eastAsia="宋体"/>
        <w:sz w:val="28"/>
        <w:szCs w:val="28"/>
      </w:rPr>
    </w:sdtEndPr>
    <w:sdtContent>
      <w:p>
        <w:pPr>
          <w:pStyle w:val="7"/>
          <w:ind w:firstLine="360" w:firstLineChars="2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A6"/>
    <w:rsid w:val="000204A3"/>
    <w:rsid w:val="00057A3C"/>
    <w:rsid w:val="000D1A39"/>
    <w:rsid w:val="00102DF0"/>
    <w:rsid w:val="001F2E0C"/>
    <w:rsid w:val="00313891"/>
    <w:rsid w:val="00332603"/>
    <w:rsid w:val="0047310B"/>
    <w:rsid w:val="005775D9"/>
    <w:rsid w:val="00580AD9"/>
    <w:rsid w:val="005D12B2"/>
    <w:rsid w:val="005F407E"/>
    <w:rsid w:val="006176FB"/>
    <w:rsid w:val="00651375"/>
    <w:rsid w:val="007A0B3E"/>
    <w:rsid w:val="00901F15"/>
    <w:rsid w:val="009D34A6"/>
    <w:rsid w:val="00A11DEF"/>
    <w:rsid w:val="00AB36C7"/>
    <w:rsid w:val="00B03E7C"/>
    <w:rsid w:val="00B2420A"/>
    <w:rsid w:val="00BE4CA4"/>
    <w:rsid w:val="00D905AB"/>
    <w:rsid w:val="00E469B6"/>
    <w:rsid w:val="00EE575F"/>
    <w:rsid w:val="00F46868"/>
    <w:rsid w:val="00FC6FDA"/>
    <w:rsid w:val="00FF17A4"/>
    <w:rsid w:val="2C7064BC"/>
    <w:rsid w:val="38B855E0"/>
    <w:rsid w:val="5416147F"/>
    <w:rsid w:val="72DF3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qFormat/>
    <w:uiPriority w:val="0"/>
    <w:pPr>
      <w:ind w:firstLine="420" w:firstLineChars="100"/>
    </w:pPr>
    <w:rPr>
      <w:rFonts w:ascii="Times New Roman" w:hAnsi="Times New Roman" w:eastAsia="宋体"/>
      <w:sz w:val="21"/>
      <w:szCs w:val="21"/>
    </w:rPr>
  </w:style>
  <w:style w:type="paragraph" w:styleId="3">
    <w:name w:val="Body Text"/>
    <w:basedOn w:val="1"/>
    <w:next w:val="4"/>
    <w:qFormat/>
    <w:uiPriority w:val="0"/>
    <w:pPr>
      <w:spacing w:after="120"/>
    </w:pPr>
  </w:style>
  <w:style w:type="paragraph" w:styleId="4">
    <w:name w:val="Body Text Indent 2"/>
    <w:next w:val="5"/>
    <w:qFormat/>
    <w:uiPriority w:val="0"/>
    <w:pPr>
      <w:widowControl w:val="0"/>
      <w:tabs>
        <w:tab w:val="left" w:pos="7020"/>
      </w:tabs>
      <w:spacing w:line="400" w:lineRule="exact"/>
      <w:ind w:firstLine="640" w:firstLineChars="200"/>
      <w:jc w:val="both"/>
    </w:pPr>
    <w:rPr>
      <w:rFonts w:ascii="仿宋_GB2312" w:hAnsi="宋体" w:eastAsia="仿宋_GB2312" w:cs="Times New Roman"/>
      <w:kern w:val="2"/>
      <w:sz w:val="32"/>
      <w:szCs w:val="24"/>
      <w:lang w:val="en-US" w:eastAsia="zh-CN" w:bidi="ar-SA"/>
    </w:rPr>
  </w:style>
  <w:style w:type="paragraph" w:styleId="5">
    <w:name w:val="index 6"/>
    <w:next w:val="1"/>
    <w:qFormat/>
    <w:uiPriority w:val="0"/>
    <w:pPr>
      <w:widowControl w:val="0"/>
      <w:ind w:left="2100"/>
      <w:jc w:val="both"/>
    </w:pPr>
    <w:rPr>
      <w:rFonts w:ascii="Times New Roman" w:hAnsi="Times New Roman" w:eastAsia="宋体" w:cs="Times New Roman"/>
      <w:kern w:val="2"/>
      <w:sz w:val="32"/>
      <w:szCs w:val="22"/>
      <w:lang w:val="en-US" w:eastAsia="zh-CN" w:bidi="ar-SA"/>
    </w:rPr>
  </w:style>
  <w:style w:type="paragraph" w:styleId="6">
    <w:name w:val="Normal (Web)"/>
    <w:next w:val="7"/>
    <w:qFormat/>
    <w:uiPriority w:val="0"/>
    <w:pPr>
      <w:widowControl w:val="0"/>
      <w:spacing w:before="100" w:beforeAutospacing="1" w:after="100" w:afterAutospacing="1"/>
      <w:ind w:left="0" w:right="0"/>
      <w:jc w:val="left"/>
    </w:pPr>
    <w:rPr>
      <w:rFonts w:ascii="仿宋" w:hAnsi="仿宋" w:eastAsia="仿宋" w:cs="Times New Roman"/>
      <w:kern w:val="0"/>
      <w:sz w:val="24"/>
      <w:szCs w:val="22"/>
      <w:lang w:val="en-US" w:eastAsia="zh-CN" w:bidi="ar-SA"/>
    </w:rPr>
  </w:style>
  <w:style w:type="paragraph" w:styleId="7">
    <w:name w:val="footer"/>
    <w:basedOn w:val="1"/>
    <w:next w:val="2"/>
    <w:link w:val="13"/>
    <w:unhideWhenUsed/>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22"/>
    <w:rPr>
      <w:b/>
      <w:bCs/>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内容"/>
    <w:basedOn w:val="1"/>
    <w:qFormat/>
    <w:uiPriority w:val="0"/>
    <w:pPr>
      <w:snapToGrid w:val="0"/>
      <w:spacing w:line="640" w:lineRule="exact"/>
      <w:ind w:firstLine="640"/>
    </w:pPr>
    <w:rPr>
      <w:rFonts w:ascii="Calibri" w:hAnsi="楷体" w:eastAsia="宋体" w:cs="Times New Roman"/>
      <w:snapToGrid w:val="0"/>
      <w:kern w:val="0"/>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301</Words>
  <Characters>1719</Characters>
  <Lines>14</Lines>
  <Paragraphs>4</Paragraphs>
  <TotalTime>6</TotalTime>
  <ScaleCrop>false</ScaleCrop>
  <LinksUpToDate>false</LinksUpToDate>
  <CharactersWithSpaces>2016</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柳林平</cp:lastModifiedBy>
  <cp:lastPrinted>2025-01-26T09:33:31Z</cp:lastPrinted>
  <dcterms:modified xsi:type="dcterms:W3CDTF">2025-01-27T01:53:34Z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