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distribute"/>
        <w:rPr>
          <w:rFonts w:hint="eastAsia" w:ascii="方正小标宋简体" w:hAnsi="方正小标宋简体" w:eastAsia="方正小标宋简体" w:cs="方正小标宋简体"/>
          <w:snapToGrid w:val="0"/>
          <w:color w:val="FF0000"/>
          <w:w w:val="53"/>
          <w:kern w:val="0"/>
          <w:sz w:val="72"/>
          <w:szCs w:val="72"/>
          <w:lang w:eastAsia="zh-CN"/>
        </w:rPr>
      </w:pPr>
    </w:p>
    <w:p>
      <w:pPr>
        <w:jc w:val="distribute"/>
        <w:rPr>
          <w:rFonts w:hint="eastAsia"/>
        </w:rPr>
      </w:pPr>
      <w:r>
        <w:rPr>
          <w:rFonts w:hint="eastAsia" w:ascii="方正小标宋简体" w:hAnsi="方正小标宋简体" w:eastAsia="方正小标宋简体" w:cs="方正小标宋简体"/>
          <w:snapToGrid w:val="0"/>
          <w:color w:val="FF0000"/>
          <w:w w:val="53"/>
          <w:kern w:val="0"/>
          <w:sz w:val="108"/>
          <w:szCs w:val="108"/>
          <w:lang w:eastAsia="zh-CN"/>
        </w:rPr>
        <w:t>福州市林业局</w:t>
      </w:r>
      <w:r>
        <w:rPr>
          <w:rFonts w:hint="eastAsia" w:ascii="方正小标宋简体" w:hAnsi="方正小标宋简体" w:eastAsia="方正小标宋简体" w:cs="方正小标宋简体"/>
          <w:snapToGrid w:val="0"/>
          <w:color w:val="FF0000"/>
          <w:w w:val="53"/>
          <w:kern w:val="0"/>
          <w:sz w:val="108"/>
          <w:szCs w:val="108"/>
          <w:lang w:val="en-US" w:eastAsia="zh-CN"/>
        </w:rPr>
        <w:t>文件</w:t>
      </w:r>
    </w:p>
    <w:p>
      <w:pPr>
        <w:keepNext w:val="0"/>
        <w:keepLines w:val="0"/>
        <w:pageBreakBefore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楷体" w:hAnsi="楷体" w:eastAsia="楷体" w:cs="楷体"/>
          <w:color w:val="000000"/>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eastAsia="仿宋_GB2312"/>
          <w:b w:val="0"/>
          <w:bCs w:val="0"/>
          <w:sz w:val="32"/>
          <w:szCs w:val="32"/>
        </w:rPr>
        <w:t>榕林〔20</w:t>
      </w:r>
      <w:r>
        <w:rPr>
          <w:rFonts w:hint="eastAsia" w:ascii="仿宋_GB2312" w:eastAsia="仿宋_GB2312"/>
          <w:b w:val="0"/>
          <w:bCs w:val="0"/>
          <w:sz w:val="32"/>
          <w:szCs w:val="32"/>
          <w:lang w:val="en-US" w:eastAsia="zh-CN"/>
        </w:rPr>
        <w:t>24</w:t>
      </w:r>
      <w:r>
        <w:rPr>
          <w:rFonts w:hint="eastAsia" w:ascii="仿宋_GB2312" w:eastAsia="仿宋_GB2312"/>
          <w:b w:val="0"/>
          <w:bCs w:val="0"/>
          <w:sz w:val="32"/>
          <w:szCs w:val="32"/>
        </w:rPr>
        <w:t>〕</w:t>
      </w:r>
      <w:r>
        <w:rPr>
          <w:rFonts w:hint="eastAsia" w:ascii="仿宋_GB2312" w:eastAsia="仿宋_GB2312"/>
          <w:b w:val="0"/>
          <w:bCs w:val="0"/>
          <w:sz w:val="32"/>
          <w:szCs w:val="32"/>
          <w:lang w:val="en-US" w:eastAsia="zh-CN"/>
        </w:rPr>
        <w:t>14</w:t>
      </w:r>
      <w:r>
        <w:rPr>
          <w:rFonts w:hint="eastAsia" w:ascii="仿宋_GB2312" w:eastAsia="仿宋_GB2312"/>
          <w:b w:val="0"/>
          <w:bCs w:val="0"/>
          <w:sz w:val="32"/>
          <w:szCs w:val="32"/>
        </w:rPr>
        <w:t>号</w:t>
      </w:r>
    </w:p>
    <w:p>
      <w:pPr>
        <w:tabs>
          <w:tab w:val="center" w:pos="4153"/>
        </w:tabs>
        <w:rPr>
          <w:rFonts w:hint="eastAsia" w:ascii="仿宋_GB2312" w:hAnsi="仿宋_GB2312" w:eastAsia="仿宋_GB2312" w:cs="仿宋_GB2312"/>
          <w:sz w:val="32"/>
          <w:szCs w:val="32"/>
        </w:rPr>
      </w:pPr>
      <w:r>
        <w:rPr>
          <w:rFonts w:hint="eastAsia" w:ascii="黑体" w:eastAsia="黑体"/>
          <w:sz w:val="44"/>
          <w:szCs w:val="44"/>
          <w:lang w:val="zh-CN" w:eastAsia="zh-CN"/>
        </w:rPr>
        <mc:AlternateContent>
          <mc:Choice Requires="wps">
            <w:drawing>
              <wp:anchor distT="0" distB="0" distL="114300" distR="114300" simplePos="0" relativeHeight="251660288" behindDoc="0" locked="0" layoutInCell="1" allowOverlap="1">
                <wp:simplePos x="0" y="0"/>
                <wp:positionH relativeFrom="column">
                  <wp:posOffset>40640</wp:posOffset>
                </wp:positionH>
                <wp:positionV relativeFrom="paragraph">
                  <wp:posOffset>198120</wp:posOffset>
                </wp:positionV>
                <wp:extent cx="5486400" cy="0"/>
                <wp:effectExtent l="0" t="12700" r="0" b="17780"/>
                <wp:wrapNone/>
                <wp:docPr id="2" name="直接连接符 2"/>
                <wp:cNvGraphicFramePr/>
                <a:graphic xmlns:a="http://schemas.openxmlformats.org/drawingml/2006/main">
                  <a:graphicData uri="http://schemas.microsoft.com/office/word/2010/wordprocessingShape">
                    <wps:wsp>
                      <wps:cNvSpPr/>
                      <wps:spPr>
                        <a:xfrm>
                          <a:off x="0" y="0"/>
                          <a:ext cx="5486400" cy="0"/>
                        </a:xfrm>
                        <a:prstGeom prst="line">
                          <a:avLst/>
                        </a:prstGeom>
                        <a:ln w="25400" cap="flat" cmpd="sng">
                          <a:solidFill>
                            <a:srgbClr val="FF0000"/>
                          </a:solidFill>
                          <a:prstDash val="solid"/>
                          <a:round/>
                          <a:headEnd type="none" w="med" len="med"/>
                          <a:tailEnd type="none" w="med" len="med"/>
                        </a:ln>
                      </wps:spPr>
                      <wps:bodyPr upright="1"/>
                    </wps:wsp>
                  </a:graphicData>
                </a:graphic>
              </wp:anchor>
            </w:drawing>
          </mc:Choice>
          <mc:Fallback>
            <w:pict>
              <v:line id="_x0000_s1026" o:spid="_x0000_s1026" o:spt="20" style="position:absolute;left:0pt;margin-left:3.2pt;margin-top:15.6pt;height:0pt;width:432pt;z-index:251660288;mso-width-relative:page;mso-height-relative:page;" filled="f" stroked="t" coordsize="21600,21600" o:gfxdata="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TYRENMAAAAHAQAADwAAAAAAAAABACAAAAAiAAAAZHJzL2Rvd25yZXYueG1sUEsB&#10;AhQAFAAAAAgAh07iQPZ2ZJT6AQAA7wMAAA4AAAAAAAAAAQAgAAAAIgEAAGRycy9lMm9Eb2MueG1s&#10;UEsFBgAAAAAGAAYAWQEAAI4FAAAAAA==&#10;">
                <v:path arrowok="t"/>
                <v:fill on="f" focussize="0,0"/>
                <v:stroke weight="2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b w:val="0"/>
          <w:bCs w:val="0"/>
          <w:sz w:val="32"/>
          <w:szCs w:val="32"/>
          <w:lang w:val="en-US" w:eastAsia="zh-CN"/>
        </w:rPr>
      </w:pPr>
      <w:r>
        <w:rPr>
          <w:rFonts w:hint="eastAsia" w:ascii="方正小标宋简体" w:hAnsi="方正小标宋简体" w:eastAsia="方正小标宋简体" w:cs="方正小标宋简体"/>
          <w:color w:val="auto"/>
          <w:sz w:val="44"/>
          <w:szCs w:val="44"/>
          <w:u w:val="none" w:color="auto"/>
          <w:lang w:val="en-US" w:eastAsia="zh-CN"/>
        </w:rPr>
        <w:t>福</w:t>
      </w:r>
      <w:r>
        <w:rPr>
          <w:rFonts w:hint="eastAsia" w:ascii="方正小标宋简体" w:hAnsi="方正小标宋简体" w:eastAsia="方正小标宋简体" w:cs="方正小标宋简体"/>
          <w:b w:val="0"/>
          <w:bCs w:val="0"/>
          <w:spacing w:val="-6"/>
          <w:sz w:val="44"/>
          <w:szCs w:val="44"/>
          <w:lang w:val="en-US" w:eastAsia="zh-CN"/>
        </w:rPr>
        <w:t>州市林业局关于印发2024年工作要点的通知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各县（市）区林业（自然资源和规划）局、高新区农林水局，局各处室（站、队、中心），局属各国有林场：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现将《福州市林业局2024年工作要点》印发给你们，请认真贯彻落实，确保全面完成2024年各项工作任务。</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760" w:firstLineChars="18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福州市林业局</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2024年3月15日</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_GB2312" w:hAnsi="仿宋_GB2312" w:eastAsia="仿宋_GB2312" w:cs="仿宋_GB2312"/>
          <w:b w:val="0"/>
          <w:bCs w:val="0"/>
          <w:sz w:val="32"/>
          <w:szCs w:val="32"/>
          <w:lang w:val="en-US" w:eastAsia="zh-CN"/>
        </w:rPr>
        <w:sectPr>
          <w:pgSz w:w="11906" w:h="16838"/>
          <w:pgMar w:top="2041" w:right="1587" w:bottom="2041" w:left="1587" w:header="851" w:footer="992"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宋体" w:hAnsi="宋体" w:eastAsia="宋体" w:cs="宋体"/>
          <w:b/>
          <w:bCs/>
          <w:color w:val="000000"/>
          <w:sz w:val="44"/>
          <w:szCs w:val="44"/>
          <w:u w:val="none" w:color="auto"/>
          <w:lang w:val="en-US" w:eastAsia="zh-CN"/>
        </w:rPr>
      </w:pPr>
      <w:r>
        <w:rPr>
          <w:rFonts w:hint="eastAsia" w:ascii="方正小标宋简体" w:hAnsi="方正小标宋简体" w:eastAsia="方正小标宋简体" w:cs="方正小标宋简体"/>
          <w:b w:val="0"/>
          <w:bCs w:val="0"/>
          <w:sz w:val="44"/>
          <w:szCs w:val="44"/>
          <w:lang w:val="en-US" w:eastAsia="zh-CN"/>
        </w:rPr>
        <w:t>福州市林业局2024年工作要点</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720" w:firstLineChars="200"/>
        <w:textAlignment w:val="auto"/>
        <w:outlineLvl w:val="9"/>
        <w:rPr>
          <w:rFonts w:hint="eastAsia" w:ascii="仿宋_GB2312" w:hAnsi="仿宋_GB2312" w:eastAsia="仿宋_GB2312" w:cs="仿宋_GB2312"/>
          <w:color w:val="000000"/>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全市林业系统要按照市委、市政府和省林业局的部署要求，以林长制为引领，以深化拓展“深学争优、敢为争先、实干争效”行动为抓手，自觉传承弘扬习近平总书记在福建、福州工作时关于林业改革发展的重要理念和重大实践，接续实施林业“八大工程”，在统筹做好生态保护与绿色发展、发挥资源优势做大做强林业产业、探索完善生态产品价值实现机制上下更大功夫，为更好建设</w:t>
      </w:r>
      <w:r>
        <w:rPr>
          <w:rFonts w:hint="eastAsia" w:ascii="仿宋_GB2312" w:hAnsi="仿宋_GB2312" w:eastAsia="仿宋_GB2312" w:cs="仿宋_GB2312"/>
          <w:sz w:val="32"/>
          <w:szCs w:val="32"/>
          <w:lang w:eastAsia="zh-CN"/>
        </w:rPr>
        <w:t>海滨城市、山水城市贡献林业力量</w:t>
      </w:r>
      <w:r>
        <w:rPr>
          <w:rFonts w:hint="eastAsia" w:ascii="仿宋_GB2312" w:hAnsi="仿宋_GB2312" w:eastAsia="仿宋_GB2312" w:cs="仿宋_GB2312"/>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一、持续深化集体林权制度改革</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深入贯彻落实《福建省建设全国深化集体林权制度改革先行区实施方案》部署要求，不断以改革深化激发发展活力，持续巩固拓展林改成果。持续推进林业规模经营，加快培育林业专业合作社、家庭林场等新型林业经营主体10个以上，开展新型林业经营主体标准化建设5家。大力发展林业金融，持续推进“邮林贷”“惠林贷”等林业普惠金融增量拓面。推动制定贯彻国家、省深化集体林权制度改革落实措施。做好林地承包经营纠纷调处，保障林地流转后相关方合法权益。持续推进重点生态区位商品林赎买工作，督促指导永泰县、闽清县落实重点生态区位商品林赎买7000亩目标任务。持续推进闽侯白沙、永泰大湖省级现代国有林场建设试点和示范项目建设。</w:t>
      </w:r>
      <w:r>
        <w:rPr>
          <w:rFonts w:hint="eastAsia" w:ascii="楷体_GB2312" w:hAnsi="楷体_GB2312" w:eastAsia="楷体_GB2312" w:cs="楷体_GB2312"/>
          <w:b w:val="0"/>
          <w:bCs w:val="0"/>
          <w:color w:val="000000"/>
          <w:sz w:val="32"/>
          <w:szCs w:val="32"/>
          <w:lang w:val="en-US" w:eastAsia="zh-CN"/>
        </w:rPr>
        <w:t>（责任处室：林业改革与发展处、资源站、林场处牵头，各相关处室配合）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二、持续推动森林质量精准提升</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贯彻落实《福州市人民政府办公厅关于切实抓好2024年造林绿化工作的通知》（榕政办〔2024〕3号），坚持数量和质量并重的科学绿化，完成植树造林7万亩、森林抚育26万亩、封山育林12万亩。坚持国土绿化与美丽福州建设一体规划、一体实施、一体打造，推进珍贵用材树种造林建设，加快实施低质低效林和疏林地改造行动，突出抓好福州城区沿江面城一重山林相改善花化彩化提升，优先推进通往景区景点道路两侧森林景观提升。全年完成森林质量精准提升19.288万亩、重点区域林相改善0.935万亩，其中突出提升通往景区景点道路两侧森林景观0.058万亩。贯彻落实《福建省防沙治沙规划（2021—2030年）》，组织编制新一轮沿海护林总体规划，建设纵深防护林3.53万亩。</w:t>
      </w:r>
      <w:r>
        <w:rPr>
          <w:rFonts w:hint="eastAsia" w:ascii="楷体_GB2312" w:hAnsi="楷体_GB2312" w:eastAsia="楷体_GB2312" w:cs="楷体_GB2312"/>
          <w:b w:val="0"/>
          <w:bCs w:val="0"/>
          <w:color w:val="000000"/>
          <w:sz w:val="32"/>
          <w:szCs w:val="32"/>
          <w:lang w:val="en-US" w:eastAsia="zh-CN"/>
        </w:rPr>
        <w:t>（责任处室：造林处牵头，各相关处室配合）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三、积极开展自然保护地体系建设</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黑体" w:hAnsi="黑体" w:eastAsia="黑体" w:cs="黑体"/>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按照上级林业主管部门部署，开展自然保护地整合优化相关工作，编制《福州市自然保护地体系建设方案》（试行）并印发实施。充分衔接《福建省自然保护地总体布局和发展规划（2022-2035）》，有序推进我市自然保护地专项规划编制工作，指导各自然保护地管理机构建立健全自然保护地管理制度。加强自然保护地能力建设，积极争取各级项目支持，改善自然保护地基础设施条件，提升自然保护区科研监测水平。结合重要节日节点，在闽江河口湿地国家级自然保护区、鼓山国家级风景名胜区等保护地开展自然保护地宣教活动，进一步挖掘打造省级自然教育示范基地品牌。</w:t>
      </w:r>
      <w:r>
        <w:rPr>
          <w:rFonts w:hint="eastAsia" w:ascii="楷体_GB2312" w:hAnsi="楷体_GB2312" w:eastAsia="楷体_GB2312" w:cs="楷体_GB2312"/>
          <w:b w:val="0"/>
          <w:bCs w:val="0"/>
          <w:color w:val="000000"/>
          <w:sz w:val="32"/>
          <w:szCs w:val="32"/>
          <w:lang w:val="en-US" w:eastAsia="zh-CN"/>
        </w:rPr>
        <w:t>（责任处室：自然保护地中心牵头，各相关处室配合）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四、推进国际湿地城市创建和闽江河口湿地申遗</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全力推进国际湿地城市创建，加快编制全市湿地保护规划，积极沟通对接国家林草局，跟踪掌握申报国际湿地城市工作进展情况，及时纳入国家林草局向国际湿地公约秘书处报送的推荐名单，并做好后续申报有关工作。扎实推进闽江河口湿地申遗基础工作，开展湿地碳汇功能研究、鸟类调查及生境类型勘察、湿地修复生态效应研究等，积极申报各类科研项目。持续推进湿地生态保护与修复，推动闽江河口湿地生态保护项目（二期）生物围栏工程建设，并做好后续养护工作。挖掘打造省级自然教育示范基地品牌。结合2024年文化和自然遗产日、“世界湿地日”“湿地保护周”等重要节点开展宣教活动，不断提升湿地品牌影响力。</w:t>
      </w:r>
      <w:r>
        <w:rPr>
          <w:rFonts w:hint="eastAsia" w:ascii="楷体_GB2312" w:hAnsi="楷体_GB2312" w:eastAsia="楷体_GB2312" w:cs="楷体_GB2312"/>
          <w:b w:val="0"/>
          <w:bCs w:val="0"/>
          <w:color w:val="000000"/>
          <w:sz w:val="32"/>
          <w:szCs w:val="32"/>
          <w:lang w:val="en-US" w:eastAsia="zh-CN"/>
        </w:rPr>
        <w:t>（责任处室：自然保护地中心牵头，各相关处室配合）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五、加大资源保护监管力度</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按照“压缩重疫区、拔除轻疫区、扑灭新疫区、守好非疫区”的战略目标，统筹落实“治、防、改，检、封、罚”措施。抢抓松材线虫病疫情除治“黄金期”，加快办理采伐审批手续，确保3月底前完成疫情防控任务。强化死亡松树清理和疫木采伐、运输、除害处理全过程监管，全面落实死亡松树和采伐山场“510·清干净”除害技术要求，加强质量检查，把好质量关口，全力打好松材线虫病疫情防控攻坚战。严格落实互花米草长效管护制度，持续开展互花米草复萌调度，全面掌握复萌状况，确保复萌植株动态清零。科学开展除治后滩涂生态修复2617亩，组织实施生态提升项目，推进滨海湿地自然景观改造提升，进一步提高生态服务功能，确保取得全胜。</w:t>
      </w:r>
      <w:r>
        <w:rPr>
          <w:rFonts w:hint="eastAsia" w:ascii="楷体_GB2312" w:hAnsi="楷体_GB2312" w:eastAsia="楷体_GB2312" w:cs="楷体_GB2312"/>
          <w:b w:val="0"/>
          <w:bCs w:val="0"/>
          <w:color w:val="000000"/>
          <w:sz w:val="32"/>
          <w:szCs w:val="32"/>
          <w:lang w:val="en-US" w:eastAsia="zh-CN"/>
        </w:rPr>
        <w:t>（责任处室：森防站、资源站、自然保护地中心牵头，各相关处室配合）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六、做大做强林业产业</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楷体_GB2312" w:hAnsi="楷体_GB2312" w:eastAsia="楷体_GB2312" w:cs="楷体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充分发挥资源优势做大做强林业产业，努力把生态优势转化为发展优势。</w:t>
      </w:r>
      <w:r>
        <w:rPr>
          <w:rFonts w:hint="eastAsia" w:ascii="仿宋_GB2312" w:hAnsi="仿宋_GB2312" w:eastAsia="仿宋_GB2312" w:cs="仿宋_GB2312"/>
          <w:b w:val="0"/>
          <w:bCs w:val="0"/>
          <w:color w:val="000000"/>
          <w:sz w:val="32"/>
          <w:szCs w:val="32"/>
          <w:u w:val="none"/>
          <w:lang w:val="en-US" w:eastAsia="zh-CN"/>
        </w:rPr>
        <w:t>推进“以竹代塑”，提升竹产业精深加工水平，重点推进闽清、罗源省级笋竹精深加工示范县建设，扶持2家竹精深加工企业改造提升生产线。推进油茶产业发展三年行动，2024年新造丰产油茶林1.04万亩、改造低产油茶林2.14万亩。持续推进我市林木良种基地、保障性苗圃建设，鼓励林木种苗花卉新品种选育创新，推动花卉苗木产业做大做强。</w:t>
      </w:r>
      <w:r>
        <w:rPr>
          <w:rFonts w:hint="eastAsia" w:ascii="仿宋_GB2312" w:hAnsi="仿宋_GB2312" w:eastAsia="仿宋_GB2312" w:cs="仿宋_GB2312"/>
          <w:b w:val="0"/>
          <w:bCs w:val="0"/>
          <w:color w:val="000000"/>
          <w:sz w:val="32"/>
          <w:szCs w:val="32"/>
          <w:lang w:val="en-US" w:eastAsia="zh-CN"/>
        </w:rPr>
        <w:t>积极申报创建省级森林养生城市、康养小镇、康养基地，持续推进森林步道建设。举办森林旅游节活动，促进各类生态旅游产品与文旅发展融合发展，助力全域旅游升级和乡村振兴。</w:t>
      </w:r>
      <w:r>
        <w:rPr>
          <w:rFonts w:hint="eastAsia" w:ascii="楷体_GB2312" w:hAnsi="楷体_GB2312" w:eastAsia="楷体_GB2312" w:cs="楷体_GB2312"/>
          <w:b w:val="0"/>
          <w:bCs w:val="0"/>
          <w:color w:val="000000"/>
          <w:sz w:val="32"/>
          <w:szCs w:val="32"/>
          <w:lang w:val="en-US" w:eastAsia="zh-CN"/>
        </w:rPr>
        <w:t>（责任处室：林业改革与发展处、造林处、种苗站、林场处牵头，各相关处室配合）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七、积极稳妥发展林业碳汇</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持续推进国土绿化，完善森林生态功能，积极开展森林防火、病虫害防治工作，稳步提升碳汇增量。充实专业人才队伍，积极开发储备碳汇项目资源，拓宽林业碳汇应用领域，推广森林碳汇补偿机制，探索森林资源保护适用林业碳汇修复新路径。引导鼓励机关、企事业单位、社会团体采用购买林业碳汇或营造碳中和林等方式实现大型活动碳中和。支持永泰县、连江县、闽清县探索林业碳汇场外交易模式，丰富林业碳汇产品，促进生态产品的经济价值实现。</w:t>
      </w:r>
      <w:r>
        <w:rPr>
          <w:rFonts w:hint="eastAsia" w:ascii="楷体_GB2312" w:hAnsi="楷体_GB2312" w:eastAsia="楷体_GB2312" w:cs="楷体_GB2312"/>
          <w:b w:val="0"/>
          <w:bCs w:val="0"/>
          <w:color w:val="000000"/>
          <w:sz w:val="32"/>
          <w:szCs w:val="32"/>
          <w:lang w:val="en-US" w:eastAsia="zh-CN"/>
        </w:rPr>
        <w:t>（责任处室：造林处牵头，各相关处室配合）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八、强化森林资源和野生动植物保护</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认真做好第三轮中央生态环境保护督察后续有关工作，加快有关涉林问题整改验收，切实整改到位。强化森林督查图斑案件督导，加大力度打击各类破坏森林资源违法违规行为，持续巩固森林督查违法图斑清零攻坚成果。落实市政府安全生产和消防工作目标责任，抓细抓实森林防火和安全生产工作，深化森林防火网格化管理，深入开展安全生产治本攻坚三年行动（2024—2026年）和消防安全集中隐患攻坚大整治行动。推进生物防火阻隔带建设和试点开展森林防火视频监控建设，全面提升森林火灾综合防控能力，强化林业消防队伍培训演练和森林防火物资储备。强化野生动植物保护宣传教育，加大陆生野生动物收容救护力度。严格落实野生动物疫源疫病监测防控，组织开展野生动植物网络市场监管“清风行动”等专项行动，严厉打击涉野生动植物违法犯罪。加强古树名木保护管理和宣传利用。</w:t>
      </w:r>
      <w:r>
        <w:rPr>
          <w:rFonts w:hint="eastAsia" w:ascii="楷体_GB2312" w:hAnsi="楷体_GB2312" w:eastAsia="楷体_GB2312" w:cs="楷体_GB2312"/>
          <w:b w:val="0"/>
          <w:bCs w:val="0"/>
          <w:color w:val="000000"/>
          <w:sz w:val="32"/>
          <w:szCs w:val="32"/>
          <w:lang w:val="en-US" w:eastAsia="zh-CN"/>
        </w:rPr>
        <w:t>（责任处室：资源站、防灾减灾处、绿化办牵头，各相关处室配合）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九、持续推进林业科技文化创新</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持续抓好人才财力的保障，搭好供需对接的平台，做好产学研用结合的文章，出好长短结合的成果，使创新活力不断迸发。做好林业科技宣传培训，充分利用“三下乡”、科普宣传周等节点加强林业科技宣传，持续深化“林农点单，专家送餐”林业科技服务活动。积极开展林业科技研究推广，应用好省林业科技供需对接会平台，加快林业科技进步和科技成果转化。积极构建林业生态文化体系，在生态文明理念传播上做到“连天接地”，在林业生态宣传上做到“顶天立地”，在自然保护地和林业生态文明实践基地建设上做到“欢天喜地”，不断提升林业生态文化影响力。</w:t>
      </w:r>
      <w:r>
        <w:rPr>
          <w:rFonts w:hint="eastAsia" w:ascii="楷体_GB2312" w:hAnsi="楷体_GB2312" w:eastAsia="楷体_GB2312" w:cs="楷体_GB2312"/>
          <w:b w:val="0"/>
          <w:bCs w:val="0"/>
          <w:color w:val="000000"/>
          <w:sz w:val="32"/>
          <w:szCs w:val="32"/>
          <w:lang w:val="en-US" w:eastAsia="zh-CN"/>
        </w:rPr>
        <w:t>（责任处室：办公室、科技站、自然保护地中心牵头，各相关处室配合）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十、强化涉林要素支撑保障</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强化服务支撑，坚持“严格把关，热情服务”，紧紧围绕中心、服务大局，高效优质做好项目用林审核审批，全力保障全市经济社会发展。强化项目支撑，围绕林业重点工作任务，做好重大项目策划储备，形成滚动接续机制，推动项目落地见效。强化资金保障，积极争取更多财政资金支持，强化预算绩效管理，加快项目实施，及时拨付资金。强化基础保障，深入实施推进林业基层治理体系和治理能力现代化行动，着力提升林业站、执法队、护林员“三支队伍”能力，大力推广应用一体化大融合行政执法平台。深化法制保障，做好《福州市湿地保护管理办法》修改工作，修订《福州市林业局权责清单》。</w:t>
      </w:r>
      <w:r>
        <w:rPr>
          <w:rFonts w:hint="eastAsia" w:ascii="楷体_GB2312" w:hAnsi="楷体_GB2312" w:eastAsia="楷体_GB2312" w:cs="楷体_GB2312"/>
          <w:b w:val="0"/>
          <w:bCs w:val="0"/>
          <w:color w:val="000000"/>
          <w:sz w:val="32"/>
          <w:szCs w:val="32"/>
          <w:lang w:val="en-US" w:eastAsia="zh-CN"/>
        </w:rPr>
        <w:t>（责任处室：审批处、计财处、林长制事务中心、执法支队、政策法规处牵头，各相关处室配合）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十一、持续推深做实林长制</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进一步完善林长制组织体系，层层压实主体责任，全面构建横向到边、纵向到底、全覆盖、无盲区的“一林一长一警一员”森林资源管护体系。继续发挥好林长办参谋助手作用，进一步落实和完善林长制各项工作制度，</w:t>
      </w:r>
      <w:r>
        <w:rPr>
          <w:rFonts w:hint="eastAsia" w:ascii="仿宋_GB2312" w:hAnsi="仿宋_GB2312" w:eastAsia="仿宋_GB2312" w:cs="仿宋_GB2312"/>
          <w:b w:val="0"/>
          <w:bCs w:val="0"/>
          <w:color w:val="auto"/>
          <w:kern w:val="2"/>
          <w:sz w:val="32"/>
          <w:szCs w:val="32"/>
          <w:lang w:val="en-US" w:eastAsia="zh-CN" w:bidi="ar-SA"/>
        </w:rPr>
        <w:t>确保各级林长知责履责尽责</w:t>
      </w:r>
      <w:r>
        <w:rPr>
          <w:rFonts w:hint="eastAsia" w:ascii="仿宋_GB2312" w:hAnsi="仿宋_GB2312" w:eastAsia="仿宋_GB2312" w:cs="仿宋_GB2312"/>
          <w:b w:val="0"/>
          <w:bCs w:val="0"/>
          <w:color w:val="000000"/>
          <w:sz w:val="32"/>
          <w:szCs w:val="32"/>
          <w:lang w:val="en-US" w:eastAsia="zh-CN"/>
        </w:rPr>
        <w:t>，协调解决辖区森林资源保护发展重难点问题。抓实抓细督查考核工作，进一步完善优化林长制考核细则，充分发挥林长制考核的“指挥棒”作用，以考核校准工作质效，强化结果应用，树立重实干重实绩导向。深化林长制司法护航体系建设，强化“五个联合”工作机制，顺畅行刑衔接，探索“生态司法+碳汇”工作，共筑森林资源安全“防火墙”。持续开展林长制业务培训，加强林业无人机培训和管理，推动林业无人机应用管理体系建设，不断提升巡林护林全域化、立体化、智能化水平。</w:t>
      </w:r>
      <w:r>
        <w:rPr>
          <w:rFonts w:hint="eastAsia" w:ascii="楷体_GB2312" w:hAnsi="楷体_GB2312" w:eastAsia="楷体_GB2312" w:cs="楷体_GB2312"/>
          <w:b w:val="0"/>
          <w:bCs w:val="0"/>
          <w:color w:val="000000"/>
          <w:sz w:val="32"/>
          <w:szCs w:val="32"/>
          <w:lang w:val="en-US" w:eastAsia="zh-CN"/>
        </w:rPr>
        <w:t>（责任处室：林长制事务中心牵头，各相关处室配合）</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十二、深入推进全面从严治党</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textAlignment w:val="auto"/>
        <w:outlineLvl w:val="9"/>
        <w:rPr>
          <w:rFonts w:hint="eastAsia" w:ascii="楷体_GB2312" w:hAnsi="楷体_GB2312" w:eastAsia="楷体_GB2312" w:cs="楷体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巩固拓展主题教育成果，充分发挥党组中心组领学促学、青年理论学习小组带动作用，引导党员干部坚持不懈用新思想凝心铸魂。持续推进文明单位创建，深化支部“达标创星”活动，不断建强基层党组织。严格落实意识形态工作责任制，抓好阵地建设管理，强化正面宣传引导。认真落实平安建设责任，巩固拓展平安建设成果。认真履行全面从严治党主体责任，带头执行中央八项规定及其实施细则精神，深化反腐败斗争，健全廉政风险防控制度。深化拓展“深学争优、敢为争先、实干争效”行动，切实解决“怕”的问题、“庸”的问题、“松”的问题，不断激发争优争先争效的精气神，推动形成激浊扬清、干事创业的良好环境。</w:t>
      </w:r>
      <w:r>
        <w:rPr>
          <w:rFonts w:hint="eastAsia" w:ascii="楷体_GB2312" w:hAnsi="楷体_GB2312" w:eastAsia="楷体_GB2312" w:cs="楷体_GB2312"/>
          <w:b w:val="0"/>
          <w:bCs w:val="0"/>
          <w:color w:val="000000"/>
          <w:sz w:val="32"/>
          <w:szCs w:val="32"/>
          <w:lang w:val="en-US" w:eastAsia="zh-CN"/>
        </w:rPr>
        <w:t>（责任处室：机关党委、办公室牵头，各相关处室配合）</w:t>
      </w:r>
    </w:p>
    <w:p>
      <w:pPr>
        <w:keepNext w:val="0"/>
        <w:keepLines w:val="0"/>
        <w:pageBreakBefore w:val="0"/>
        <w:widowControl w:val="0"/>
        <w:kinsoku/>
        <w:wordWrap/>
        <w:overflowPunct/>
        <w:topLinePunct w:val="0"/>
        <w:autoSpaceDE/>
        <w:autoSpaceDN/>
        <w:bidi w:val="0"/>
        <w:adjustRightInd/>
        <w:snapToGrid/>
        <w:spacing w:before="313" w:beforeLines="100" w:line="580" w:lineRule="exact"/>
        <w:ind w:left="0" w:leftChars="0" w:right="0" w:rightChars="0" w:firstLine="640" w:firstLineChars="200"/>
        <w:jc w:val="both"/>
        <w:textAlignment w:val="auto"/>
        <w:outlineLvl w:val="9"/>
        <w:rPr>
          <w:rFonts w:hint="default" w:ascii="仿宋_GB2312" w:hAnsi="仿宋_GB2312" w:eastAsia="仿宋_GB2312" w:cs="仿宋_GB2312"/>
          <w:b w:val="0"/>
          <w:bCs w:val="0"/>
          <w:sz w:val="32"/>
          <w:szCs w:val="32"/>
          <w:lang w:val="en-US" w:eastAsia="zh-CN"/>
        </w:rPr>
        <w:sectPr>
          <w:footerReference r:id="rId3" w:type="default"/>
          <w:pgSz w:w="11906" w:h="16838"/>
          <w:pgMar w:top="2041" w:right="1587" w:bottom="2041" w:left="1587" w:header="851" w:footer="992" w:gutter="0"/>
          <w:pgNumType w:fmt="decimal" w:start="1"/>
          <w:cols w:space="720" w:num="1"/>
          <w:docGrid w:type="lines" w:linePitch="312" w:charSpace="0"/>
        </w:sectPr>
      </w:pPr>
      <w:r>
        <w:rPr>
          <w:rFonts w:hint="eastAsia" w:ascii="仿宋_GB2312" w:hAnsi="仿宋_GB2312" w:eastAsia="仿宋_GB2312" w:cs="仿宋_GB2312"/>
          <w:b w:val="0"/>
          <w:bCs w:val="0"/>
          <w:color w:val="000000"/>
          <w:sz w:val="32"/>
          <w:szCs w:val="32"/>
          <w:lang w:val="en-US" w:eastAsia="zh-CN"/>
        </w:rPr>
        <w:t>附件：2024年林业“八大工程”任务分解表</w:t>
      </w:r>
    </w:p>
    <w:p>
      <w:pPr>
        <w:pStyle w:val="3"/>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pStyle w:val="3"/>
        <w:keepNext w:val="0"/>
        <w:keepLines w:val="0"/>
        <w:pageBreakBefore w:val="0"/>
        <w:widowControl w:val="0"/>
        <w:kinsoku/>
        <w:wordWrap/>
        <w:overflowPunct/>
        <w:topLinePunct w:val="0"/>
        <w:autoSpaceDE/>
        <w:autoSpaceDN/>
        <w:bidi w:val="0"/>
        <w:adjustRightInd/>
        <w:snapToGrid/>
        <w:spacing w:after="240"/>
        <w:jc w:val="center"/>
        <w:textAlignment w:val="auto"/>
        <w:rPr>
          <w:rFonts w:hint="eastAsia" w:ascii="黑体" w:hAnsi="黑体" w:eastAsia="黑体" w:cs="黑体"/>
          <w:sz w:val="32"/>
          <w:szCs w:val="32"/>
          <w:lang w:val="en-US" w:eastAsia="zh-CN"/>
        </w:rPr>
      </w:pPr>
      <w:r>
        <w:rPr>
          <w:rFonts w:ascii="宋体" w:hAnsi="宋体" w:eastAsia="宋体" w:cs="宋体"/>
          <w:sz w:val="43"/>
          <w:szCs w:val="43"/>
          <w14:textOutline w14:w="6350" w14:cap="flat" w14:cmpd="sng">
            <w14:solidFill>
              <w14:srgbClr w14:val="000000"/>
            </w14:solidFill>
            <w14:prstDash w14:val="solid"/>
            <w14:miter w14:val="0"/>
          </w14:textOutline>
        </w:rPr>
        <w:t>2024年林业“八大工程”任务分解表</w:t>
      </w:r>
    </w:p>
    <w:tbl>
      <w:tblPr>
        <w:tblStyle w:val="10"/>
        <w:tblW w:w="143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2790"/>
        <w:gridCol w:w="1104"/>
        <w:gridCol w:w="828"/>
        <w:gridCol w:w="852"/>
        <w:gridCol w:w="816"/>
        <w:gridCol w:w="828"/>
        <w:gridCol w:w="816"/>
        <w:gridCol w:w="852"/>
        <w:gridCol w:w="816"/>
        <w:gridCol w:w="816"/>
        <w:gridCol w:w="828"/>
        <w:gridCol w:w="792"/>
        <w:gridCol w:w="1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工程</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sz w:val="28"/>
                <w:szCs w:val="28"/>
                <w:vertAlign w:val="baseline"/>
                <w:lang w:val="en-US" w:eastAsia="zh-CN"/>
              </w:rPr>
            </w:pPr>
            <w:r>
              <w:rPr>
                <w:rFonts w:hint="eastAsia" w:ascii="黑体" w:hAnsi="黑体" w:eastAsia="黑体" w:cs="黑体"/>
                <w:i w:val="0"/>
                <w:iCs w:val="0"/>
                <w:color w:val="000000"/>
                <w:kern w:val="0"/>
                <w:sz w:val="28"/>
                <w:szCs w:val="28"/>
                <w:u w:val="none"/>
                <w:lang w:val="en-US" w:eastAsia="zh-CN" w:bidi="ar"/>
              </w:rPr>
              <w:t>名称</w:t>
            </w:r>
          </w:p>
        </w:tc>
        <w:tc>
          <w:tcPr>
            <w:tcW w:w="2790"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sz w:val="28"/>
                <w:szCs w:val="28"/>
                <w:vertAlign w:val="baseline"/>
                <w:lang w:val="en-US" w:eastAsia="zh-CN"/>
              </w:rPr>
            </w:pPr>
            <w:r>
              <w:rPr>
                <w:rFonts w:hint="eastAsia" w:ascii="黑体" w:hAnsi="黑体" w:eastAsia="黑体" w:cs="黑体"/>
                <w:i w:val="0"/>
                <w:iCs w:val="0"/>
                <w:color w:val="000000"/>
                <w:kern w:val="0"/>
                <w:sz w:val="28"/>
                <w:szCs w:val="28"/>
                <w:u w:val="none"/>
                <w:lang w:val="en-US" w:eastAsia="zh-CN" w:bidi="ar"/>
              </w:rPr>
              <w:t>项目任务</w:t>
            </w:r>
          </w:p>
        </w:tc>
        <w:tc>
          <w:tcPr>
            <w:tcW w:w="1104"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责任</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sz w:val="28"/>
                <w:szCs w:val="28"/>
                <w:vertAlign w:val="baseline"/>
                <w:lang w:val="en-US" w:eastAsia="zh-CN"/>
              </w:rPr>
            </w:pPr>
            <w:r>
              <w:rPr>
                <w:rFonts w:hint="eastAsia" w:ascii="黑体" w:hAnsi="黑体" w:eastAsia="黑体" w:cs="黑体"/>
                <w:i w:val="0"/>
                <w:iCs w:val="0"/>
                <w:color w:val="000000"/>
                <w:kern w:val="0"/>
                <w:sz w:val="28"/>
                <w:szCs w:val="28"/>
                <w:u w:val="none"/>
                <w:lang w:val="en-US" w:eastAsia="zh-CN" w:bidi="ar"/>
              </w:rPr>
              <w:t>处室</w:t>
            </w:r>
          </w:p>
        </w:tc>
        <w:tc>
          <w:tcPr>
            <w:tcW w:w="8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台江</w:t>
            </w:r>
          </w:p>
        </w:tc>
        <w:tc>
          <w:tcPr>
            <w:tcW w:w="85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kern w:val="2"/>
                <w:sz w:val="28"/>
                <w:szCs w:val="28"/>
                <w:vertAlign w:val="baseline"/>
                <w:lang w:val="en-US" w:eastAsia="zh-CN" w:bidi="ar-SA"/>
              </w:rPr>
            </w:pPr>
            <w:r>
              <w:rPr>
                <w:rFonts w:hint="eastAsia" w:ascii="黑体" w:hAnsi="黑体" w:eastAsia="黑体" w:cs="黑体"/>
                <w:b/>
                <w:bCs/>
                <w:i w:val="0"/>
                <w:iCs w:val="0"/>
                <w:color w:val="000000"/>
                <w:kern w:val="0"/>
                <w:sz w:val="28"/>
                <w:szCs w:val="28"/>
                <w:u w:val="none"/>
                <w:lang w:val="en-US" w:eastAsia="zh-CN" w:bidi="ar"/>
              </w:rPr>
              <w:t>晋安</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kern w:val="2"/>
                <w:sz w:val="28"/>
                <w:szCs w:val="28"/>
                <w:vertAlign w:val="baseline"/>
                <w:lang w:val="en-US" w:eastAsia="zh-CN" w:bidi="ar-SA"/>
              </w:rPr>
            </w:pPr>
            <w:r>
              <w:rPr>
                <w:rFonts w:hint="eastAsia" w:ascii="黑体" w:hAnsi="黑体" w:eastAsia="黑体" w:cs="黑体"/>
                <w:b/>
                <w:bCs/>
                <w:i w:val="0"/>
                <w:iCs w:val="0"/>
                <w:color w:val="000000"/>
                <w:kern w:val="0"/>
                <w:sz w:val="28"/>
                <w:szCs w:val="28"/>
                <w:u w:val="none"/>
                <w:lang w:val="en-US" w:eastAsia="zh-CN" w:bidi="ar"/>
              </w:rPr>
              <w:t>马尾</w:t>
            </w:r>
          </w:p>
        </w:tc>
        <w:tc>
          <w:tcPr>
            <w:tcW w:w="8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kern w:val="2"/>
                <w:sz w:val="28"/>
                <w:szCs w:val="28"/>
                <w:vertAlign w:val="baseline"/>
                <w:lang w:val="en-US" w:eastAsia="zh-CN" w:bidi="ar-SA"/>
              </w:rPr>
            </w:pPr>
            <w:r>
              <w:rPr>
                <w:rFonts w:hint="eastAsia" w:ascii="黑体" w:hAnsi="黑体" w:eastAsia="黑体" w:cs="黑体"/>
                <w:b/>
                <w:bCs/>
                <w:i w:val="0"/>
                <w:iCs w:val="0"/>
                <w:color w:val="000000"/>
                <w:kern w:val="0"/>
                <w:sz w:val="28"/>
                <w:szCs w:val="28"/>
                <w:u w:val="none"/>
                <w:lang w:val="en-US" w:eastAsia="zh-CN" w:bidi="ar"/>
              </w:rPr>
              <w:t>长乐</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kern w:val="2"/>
                <w:sz w:val="28"/>
                <w:szCs w:val="28"/>
                <w:vertAlign w:val="baseline"/>
                <w:lang w:val="en-US" w:eastAsia="zh-CN" w:bidi="ar-SA"/>
              </w:rPr>
            </w:pPr>
            <w:r>
              <w:rPr>
                <w:rFonts w:hint="eastAsia" w:ascii="黑体" w:hAnsi="黑体" w:eastAsia="黑体" w:cs="黑体"/>
                <w:b/>
                <w:bCs/>
                <w:i w:val="0"/>
                <w:iCs w:val="0"/>
                <w:color w:val="000000"/>
                <w:kern w:val="0"/>
                <w:sz w:val="28"/>
                <w:szCs w:val="28"/>
                <w:u w:val="none"/>
                <w:lang w:val="en-US" w:eastAsia="zh-CN" w:bidi="ar"/>
              </w:rPr>
              <w:t>福清</w:t>
            </w:r>
          </w:p>
        </w:tc>
        <w:tc>
          <w:tcPr>
            <w:tcW w:w="85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kern w:val="2"/>
                <w:sz w:val="28"/>
                <w:szCs w:val="28"/>
                <w:vertAlign w:val="baseline"/>
                <w:lang w:val="en-US" w:eastAsia="zh-CN" w:bidi="ar-SA"/>
              </w:rPr>
            </w:pPr>
            <w:r>
              <w:rPr>
                <w:rFonts w:hint="eastAsia" w:ascii="黑体" w:hAnsi="黑体" w:eastAsia="黑体" w:cs="黑体"/>
                <w:b/>
                <w:bCs/>
                <w:i w:val="0"/>
                <w:iCs w:val="0"/>
                <w:color w:val="000000"/>
                <w:kern w:val="0"/>
                <w:sz w:val="28"/>
                <w:szCs w:val="28"/>
                <w:u w:val="none"/>
                <w:lang w:val="en-US" w:eastAsia="zh-CN" w:bidi="ar"/>
              </w:rPr>
              <w:t>闽侯</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kern w:val="2"/>
                <w:sz w:val="28"/>
                <w:szCs w:val="28"/>
                <w:vertAlign w:val="baseline"/>
                <w:lang w:val="en-US" w:eastAsia="zh-CN" w:bidi="ar-SA"/>
              </w:rPr>
            </w:pPr>
            <w:r>
              <w:rPr>
                <w:rFonts w:hint="eastAsia" w:ascii="黑体" w:hAnsi="黑体" w:eastAsia="黑体" w:cs="黑体"/>
                <w:b/>
                <w:bCs/>
                <w:i w:val="0"/>
                <w:iCs w:val="0"/>
                <w:color w:val="000000"/>
                <w:kern w:val="0"/>
                <w:sz w:val="28"/>
                <w:szCs w:val="28"/>
                <w:u w:val="none"/>
                <w:lang w:val="en-US" w:eastAsia="zh-CN" w:bidi="ar"/>
              </w:rPr>
              <w:t>连江</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kern w:val="2"/>
                <w:sz w:val="28"/>
                <w:szCs w:val="28"/>
                <w:vertAlign w:val="baseline"/>
                <w:lang w:val="en-US" w:eastAsia="zh-CN" w:bidi="ar-SA"/>
              </w:rPr>
            </w:pPr>
            <w:r>
              <w:rPr>
                <w:rFonts w:hint="eastAsia" w:ascii="黑体" w:hAnsi="黑体" w:eastAsia="黑体" w:cs="黑体"/>
                <w:b/>
                <w:bCs/>
                <w:i w:val="0"/>
                <w:iCs w:val="0"/>
                <w:color w:val="000000"/>
                <w:kern w:val="0"/>
                <w:sz w:val="28"/>
                <w:szCs w:val="28"/>
                <w:u w:val="none"/>
                <w:lang w:val="en-US" w:eastAsia="zh-CN" w:bidi="ar"/>
              </w:rPr>
              <w:t>闽清</w:t>
            </w:r>
          </w:p>
        </w:tc>
        <w:tc>
          <w:tcPr>
            <w:tcW w:w="8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kern w:val="2"/>
                <w:sz w:val="28"/>
                <w:szCs w:val="28"/>
                <w:vertAlign w:val="baseline"/>
                <w:lang w:val="en-US" w:eastAsia="zh-CN" w:bidi="ar-SA"/>
              </w:rPr>
            </w:pPr>
            <w:r>
              <w:rPr>
                <w:rFonts w:hint="eastAsia" w:ascii="黑体" w:hAnsi="黑体" w:eastAsia="黑体" w:cs="黑体"/>
                <w:b/>
                <w:bCs/>
                <w:i w:val="0"/>
                <w:iCs w:val="0"/>
                <w:color w:val="000000"/>
                <w:kern w:val="0"/>
                <w:sz w:val="28"/>
                <w:szCs w:val="28"/>
                <w:u w:val="none"/>
                <w:lang w:val="en-US" w:eastAsia="zh-CN" w:bidi="ar"/>
              </w:rPr>
              <w:t>罗源</w:t>
            </w:r>
          </w:p>
        </w:tc>
        <w:tc>
          <w:tcPr>
            <w:tcW w:w="79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kern w:val="2"/>
                <w:sz w:val="28"/>
                <w:szCs w:val="28"/>
                <w:vertAlign w:val="baseline"/>
                <w:lang w:val="en-US" w:eastAsia="zh-CN" w:bidi="ar-SA"/>
              </w:rPr>
            </w:pPr>
            <w:r>
              <w:rPr>
                <w:rFonts w:hint="eastAsia" w:ascii="黑体" w:hAnsi="黑体" w:eastAsia="黑体" w:cs="黑体"/>
                <w:b/>
                <w:bCs/>
                <w:i w:val="0"/>
                <w:iCs w:val="0"/>
                <w:color w:val="000000"/>
                <w:kern w:val="0"/>
                <w:sz w:val="28"/>
                <w:szCs w:val="28"/>
                <w:u w:val="none"/>
                <w:lang w:val="en-US" w:eastAsia="zh-CN" w:bidi="ar"/>
              </w:rPr>
              <w:t>永泰</w:t>
            </w: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kern w:val="2"/>
                <w:sz w:val="28"/>
                <w:szCs w:val="28"/>
                <w:vertAlign w:val="baseline"/>
                <w:lang w:val="en-US" w:eastAsia="zh-CN" w:bidi="ar-SA"/>
              </w:rPr>
            </w:pPr>
            <w:r>
              <w:rPr>
                <w:rFonts w:hint="eastAsia" w:ascii="黑体" w:hAnsi="黑体" w:eastAsia="黑体" w:cs="黑体"/>
                <w:b/>
                <w:bCs/>
                <w:i w:val="0"/>
                <w:iCs w:val="0"/>
                <w:color w:val="000000"/>
                <w:kern w:val="0"/>
                <w:sz w:val="28"/>
                <w:szCs w:val="28"/>
                <w:u w:val="none"/>
                <w:lang w:val="en-US" w:eastAsia="zh-CN" w:bidi="ar"/>
              </w:rPr>
              <w:t>高新区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1116" w:type="dxa"/>
            <w:vMerge w:val="restart"/>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沿海防护林工</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b/>
                <w:bCs/>
                <w:sz w:val="28"/>
                <w:szCs w:val="28"/>
                <w:vertAlign w:val="baseline"/>
                <w:lang w:val="en-US" w:eastAsia="zh-CN"/>
              </w:rPr>
              <w:t>程</w:t>
            </w: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vertAlign w:val="baseline"/>
                <w:lang w:val="en-US" w:eastAsia="zh-CN"/>
              </w:rPr>
            </w:pPr>
            <w:r>
              <w:rPr>
                <w:rFonts w:hint="eastAsia" w:ascii="仿宋_GB2312" w:hAnsi="仿宋_GB2312" w:eastAsia="仿宋_GB2312" w:cs="仿宋_GB2312"/>
                <w:spacing w:val="0"/>
                <w:sz w:val="28"/>
                <w:szCs w:val="28"/>
              </w:rPr>
              <w:t>建设纵深防护林</w:t>
            </w:r>
            <w:r>
              <w:rPr>
                <w:rFonts w:hint="eastAsia" w:ascii="仿宋_GB2312" w:hAnsi="仿宋_GB2312" w:eastAsia="仿宋_GB2312" w:cs="仿宋_GB2312"/>
                <w:spacing w:val="0"/>
                <w:sz w:val="28"/>
                <w:szCs w:val="28"/>
                <w:lang w:val="en-US" w:eastAsia="zh-CN"/>
              </w:rPr>
              <w:t>3.53</w:t>
            </w:r>
            <w:r>
              <w:rPr>
                <w:rFonts w:hint="eastAsia" w:ascii="仿宋_GB2312" w:hAnsi="仿宋_GB2312" w:eastAsia="仿宋_GB2312" w:cs="仿宋_GB2312"/>
                <w:spacing w:val="0"/>
                <w:sz w:val="28"/>
                <w:szCs w:val="28"/>
              </w:rPr>
              <w:t>万亩。</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造林处</w:t>
            </w:r>
          </w:p>
        </w:tc>
        <w:tc>
          <w:tcPr>
            <w:tcW w:w="828" w:type="dxa"/>
            <w:vAlign w:val="top"/>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rPr>
                <w:rFonts w:hint="eastAsia" w:ascii="仿宋_GB2312" w:hAnsi="仿宋_GB2312" w:eastAsia="仿宋_GB2312" w:cs="仿宋_GB2312"/>
                <w:kern w:val="0"/>
                <w:sz w:val="28"/>
                <w:szCs w:val="28"/>
                <w:vertAlign w:val="baseline"/>
                <w:lang w:val="en-US" w:eastAsia="zh-CN" w:bidi="ar-SA"/>
              </w:rPr>
            </w:pPr>
          </w:p>
        </w:tc>
        <w:tc>
          <w:tcPr>
            <w:tcW w:w="85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spacing w:val="-20"/>
                <w:kern w:val="2"/>
                <w:sz w:val="28"/>
                <w:szCs w:val="28"/>
                <w:vertAlign w:val="baseline"/>
                <w:lang w:val="en-US" w:eastAsia="zh-CN" w:bidi="ar-SA"/>
              </w:rPr>
            </w:pPr>
            <w:r>
              <w:rPr>
                <w:rFonts w:hint="eastAsia" w:ascii="仿宋_GB2312" w:hAnsi="仿宋_GB2312" w:eastAsia="仿宋_GB2312" w:cs="仿宋_GB2312"/>
                <w:i w:val="0"/>
                <w:iCs w:val="0"/>
                <w:color w:val="000000"/>
                <w:spacing w:val="-20"/>
                <w:kern w:val="0"/>
                <w:sz w:val="28"/>
                <w:szCs w:val="28"/>
                <w:u w:val="none"/>
                <w:lang w:val="en-US" w:eastAsia="zh-CN" w:bidi="ar"/>
              </w:rPr>
              <w:t>0.24</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spacing w:val="-20"/>
                <w:kern w:val="2"/>
                <w:sz w:val="28"/>
                <w:szCs w:val="28"/>
                <w:vertAlign w:val="baseline"/>
                <w:lang w:val="en-US" w:eastAsia="zh-CN" w:bidi="ar-SA"/>
              </w:rPr>
            </w:pPr>
            <w:r>
              <w:rPr>
                <w:rFonts w:hint="eastAsia" w:ascii="仿宋_GB2312" w:hAnsi="仿宋_GB2312" w:eastAsia="仿宋_GB2312" w:cs="仿宋_GB2312"/>
                <w:i w:val="0"/>
                <w:iCs w:val="0"/>
                <w:color w:val="000000"/>
                <w:spacing w:val="-20"/>
                <w:kern w:val="0"/>
                <w:sz w:val="28"/>
                <w:szCs w:val="28"/>
                <w:u w:val="none"/>
                <w:lang w:val="en-US" w:eastAsia="zh-CN" w:bidi="ar"/>
              </w:rPr>
              <w:t>0.06</w:t>
            </w:r>
          </w:p>
        </w:tc>
        <w:tc>
          <w:tcPr>
            <w:tcW w:w="8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spacing w:val="-20"/>
                <w:kern w:val="2"/>
                <w:sz w:val="28"/>
                <w:szCs w:val="28"/>
                <w:vertAlign w:val="baseline"/>
                <w:lang w:val="en-US" w:eastAsia="zh-CN" w:bidi="ar-SA"/>
              </w:rPr>
            </w:pPr>
            <w:r>
              <w:rPr>
                <w:rFonts w:hint="eastAsia" w:ascii="仿宋_GB2312" w:hAnsi="仿宋_GB2312" w:eastAsia="仿宋_GB2312" w:cs="仿宋_GB2312"/>
                <w:i w:val="0"/>
                <w:iCs w:val="0"/>
                <w:color w:val="000000"/>
                <w:spacing w:val="-20"/>
                <w:kern w:val="0"/>
                <w:sz w:val="28"/>
                <w:szCs w:val="28"/>
                <w:u w:val="none"/>
                <w:lang w:val="en-US" w:eastAsia="zh-CN" w:bidi="ar"/>
              </w:rPr>
              <w:t>0.5</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spacing w:val="-20"/>
                <w:kern w:val="2"/>
                <w:sz w:val="28"/>
                <w:szCs w:val="28"/>
                <w:vertAlign w:val="baseline"/>
                <w:lang w:val="en-US" w:eastAsia="zh-CN" w:bidi="ar-SA"/>
              </w:rPr>
            </w:pPr>
            <w:r>
              <w:rPr>
                <w:rFonts w:hint="eastAsia" w:ascii="仿宋_GB2312" w:hAnsi="仿宋_GB2312" w:eastAsia="仿宋_GB2312" w:cs="仿宋_GB2312"/>
                <w:i w:val="0"/>
                <w:iCs w:val="0"/>
                <w:color w:val="000000"/>
                <w:spacing w:val="-20"/>
                <w:kern w:val="0"/>
                <w:sz w:val="28"/>
                <w:szCs w:val="28"/>
                <w:u w:val="none"/>
                <w:lang w:val="en-US" w:eastAsia="zh-CN" w:bidi="ar"/>
              </w:rPr>
              <w:t>0.2</w:t>
            </w:r>
          </w:p>
        </w:tc>
        <w:tc>
          <w:tcPr>
            <w:tcW w:w="85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spacing w:val="-20"/>
                <w:kern w:val="2"/>
                <w:sz w:val="28"/>
                <w:szCs w:val="28"/>
                <w:vertAlign w:val="baseline"/>
                <w:lang w:val="en-US" w:eastAsia="zh-CN" w:bidi="ar-SA"/>
              </w:rPr>
            </w:pPr>
            <w:r>
              <w:rPr>
                <w:rFonts w:hint="eastAsia" w:ascii="仿宋_GB2312" w:hAnsi="仿宋_GB2312" w:eastAsia="仿宋_GB2312" w:cs="仿宋_GB2312"/>
                <w:i w:val="0"/>
                <w:iCs w:val="0"/>
                <w:color w:val="000000"/>
                <w:spacing w:val="-20"/>
                <w:kern w:val="0"/>
                <w:sz w:val="28"/>
                <w:szCs w:val="28"/>
                <w:u w:val="none"/>
                <w:lang w:val="en-US" w:eastAsia="zh-CN" w:bidi="ar"/>
              </w:rPr>
              <w:t>0.3</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spacing w:val="-20"/>
                <w:kern w:val="2"/>
                <w:sz w:val="28"/>
                <w:szCs w:val="28"/>
                <w:vertAlign w:val="baseline"/>
                <w:lang w:val="en-US" w:eastAsia="zh-CN" w:bidi="ar-SA"/>
              </w:rPr>
            </w:pPr>
            <w:r>
              <w:rPr>
                <w:rFonts w:hint="eastAsia" w:ascii="仿宋_GB2312" w:hAnsi="仿宋_GB2312" w:eastAsia="仿宋_GB2312" w:cs="仿宋_GB2312"/>
                <w:i w:val="0"/>
                <w:iCs w:val="0"/>
                <w:color w:val="000000"/>
                <w:spacing w:val="-20"/>
                <w:kern w:val="0"/>
                <w:sz w:val="28"/>
                <w:szCs w:val="28"/>
                <w:u w:val="none"/>
                <w:lang w:val="en-US" w:eastAsia="zh-CN" w:bidi="ar"/>
              </w:rPr>
              <w:t>0.48</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spacing w:val="-20"/>
                <w:kern w:val="2"/>
                <w:sz w:val="28"/>
                <w:szCs w:val="28"/>
                <w:vertAlign w:val="baseline"/>
                <w:lang w:val="en-US" w:eastAsia="zh-CN" w:bidi="ar-SA"/>
              </w:rPr>
            </w:pPr>
            <w:r>
              <w:rPr>
                <w:rFonts w:hint="eastAsia" w:ascii="仿宋_GB2312" w:hAnsi="仿宋_GB2312" w:eastAsia="仿宋_GB2312" w:cs="仿宋_GB2312"/>
                <w:i w:val="0"/>
                <w:iCs w:val="0"/>
                <w:color w:val="000000"/>
                <w:spacing w:val="-20"/>
                <w:kern w:val="0"/>
                <w:sz w:val="28"/>
                <w:szCs w:val="28"/>
                <w:u w:val="none"/>
                <w:lang w:val="en-US" w:eastAsia="zh-CN" w:bidi="ar"/>
              </w:rPr>
              <w:t>0.1</w:t>
            </w:r>
          </w:p>
        </w:tc>
        <w:tc>
          <w:tcPr>
            <w:tcW w:w="8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spacing w:val="-20"/>
                <w:kern w:val="2"/>
                <w:sz w:val="28"/>
                <w:szCs w:val="28"/>
                <w:vertAlign w:val="baseline"/>
                <w:lang w:val="en-US" w:eastAsia="zh-CN" w:bidi="ar-SA"/>
              </w:rPr>
            </w:pPr>
            <w:r>
              <w:rPr>
                <w:rFonts w:hint="eastAsia" w:ascii="仿宋_GB2312" w:hAnsi="仿宋_GB2312" w:eastAsia="仿宋_GB2312" w:cs="仿宋_GB2312"/>
                <w:i w:val="0"/>
                <w:iCs w:val="0"/>
                <w:color w:val="000000"/>
                <w:spacing w:val="-20"/>
                <w:kern w:val="0"/>
                <w:sz w:val="28"/>
                <w:szCs w:val="28"/>
                <w:u w:val="none"/>
                <w:lang w:val="en-US" w:eastAsia="zh-CN" w:bidi="ar"/>
              </w:rPr>
              <w:t>1.15</w:t>
            </w:r>
          </w:p>
        </w:tc>
        <w:tc>
          <w:tcPr>
            <w:tcW w:w="79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spacing w:val="-20"/>
                <w:kern w:val="2"/>
                <w:sz w:val="28"/>
                <w:szCs w:val="28"/>
                <w:vertAlign w:val="baseline"/>
                <w:lang w:val="en-US" w:eastAsia="zh-CN" w:bidi="ar-SA"/>
              </w:rPr>
            </w:pPr>
            <w:r>
              <w:rPr>
                <w:rFonts w:hint="eastAsia" w:ascii="仿宋_GB2312" w:hAnsi="仿宋_GB2312" w:eastAsia="仿宋_GB2312" w:cs="仿宋_GB2312"/>
                <w:i w:val="0"/>
                <w:iCs w:val="0"/>
                <w:color w:val="000000"/>
                <w:spacing w:val="-20"/>
                <w:kern w:val="0"/>
                <w:sz w:val="28"/>
                <w:szCs w:val="28"/>
                <w:u w:val="none"/>
                <w:lang w:val="en-US" w:eastAsia="zh-CN" w:bidi="ar"/>
              </w:rPr>
              <w:t>0.5</w:t>
            </w:r>
          </w:p>
        </w:tc>
        <w:tc>
          <w:tcPr>
            <w:tcW w:w="1122" w:type="dxa"/>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trPr>
        <w:tc>
          <w:tcPr>
            <w:tcW w:w="1116" w:type="dxa"/>
            <w:vMerge w:val="continue"/>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sz w:val="22"/>
                <w:szCs w:val="22"/>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eastAsia" w:ascii="仿宋_GB2312" w:hAnsi="仿宋_GB2312" w:eastAsia="仿宋_GB2312" w:cs="仿宋_GB2312"/>
                <w:spacing w:val="0"/>
                <w:sz w:val="28"/>
                <w:szCs w:val="28"/>
                <w:vertAlign w:val="baseline"/>
                <w:lang w:val="en-US" w:eastAsia="zh-CN"/>
              </w:rPr>
            </w:pPr>
            <w:r>
              <w:rPr>
                <w:rFonts w:hint="eastAsia" w:ascii="仿宋_GB2312" w:hAnsi="仿宋_GB2312" w:eastAsia="仿宋_GB2312" w:cs="仿宋_GB2312"/>
                <w:spacing w:val="0"/>
                <w:sz w:val="28"/>
                <w:szCs w:val="28"/>
              </w:rPr>
              <w:t>结合互花米草除治，推进红树林生态保护修复</w:t>
            </w:r>
            <w:r>
              <w:rPr>
                <w:rFonts w:hint="eastAsia" w:ascii="仿宋_GB2312" w:hAnsi="仿宋_GB2312" w:eastAsia="仿宋_GB2312" w:cs="仿宋_GB2312"/>
                <w:spacing w:val="0"/>
                <w:sz w:val="28"/>
                <w:szCs w:val="28"/>
                <w:lang w:val="en-US" w:eastAsia="zh-CN"/>
              </w:rPr>
              <w:t>0.13</w:t>
            </w:r>
            <w:r>
              <w:rPr>
                <w:rFonts w:hint="eastAsia" w:ascii="仿宋_GB2312" w:hAnsi="仿宋_GB2312" w:eastAsia="仿宋_GB2312" w:cs="仿宋_GB2312"/>
                <w:spacing w:val="0"/>
                <w:sz w:val="28"/>
                <w:szCs w:val="28"/>
              </w:rPr>
              <w:t>万亩。</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资源站</w:t>
            </w:r>
          </w:p>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森防站</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spacing w:val="-20"/>
                <w:sz w:val="28"/>
                <w:szCs w:val="28"/>
                <w:vertAlign w:val="baseline"/>
                <w:lang w:val="en-US" w:eastAsia="zh-CN"/>
              </w:rPr>
              <w:t>0.056</w:t>
            </w: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spacing w:val="-20"/>
                <w:sz w:val="28"/>
                <w:szCs w:val="28"/>
                <w:vertAlign w:val="baseline"/>
                <w:lang w:val="en-US" w:eastAsia="zh-CN"/>
              </w:rPr>
              <w:t>0.056</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spacing w:val="-20"/>
                <w:sz w:val="28"/>
                <w:szCs w:val="28"/>
                <w:vertAlign w:val="baseline"/>
                <w:lang w:val="en-US" w:eastAsia="zh-CN"/>
              </w:rPr>
              <w:t>0.019</w:t>
            </w: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trPr>
        <w:tc>
          <w:tcPr>
            <w:tcW w:w="1116" w:type="dxa"/>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b/>
                <w:bCs/>
                <w:sz w:val="28"/>
                <w:szCs w:val="28"/>
                <w:vertAlign w:val="baseline"/>
                <w:lang w:val="en-US" w:eastAsia="zh-CN"/>
              </w:rPr>
              <w:t>江河流域生态林工程</w:t>
            </w: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vertAlign w:val="baseline"/>
                <w:lang w:val="en-US" w:eastAsia="zh-CN"/>
              </w:rPr>
            </w:pPr>
            <w:r>
              <w:rPr>
                <w:rFonts w:hint="eastAsia" w:ascii="仿宋_GB2312" w:hAnsi="仿宋_GB2312" w:eastAsia="仿宋_GB2312" w:cs="仿宋_GB2312"/>
                <w:spacing w:val="0"/>
                <w:sz w:val="28"/>
                <w:szCs w:val="28"/>
              </w:rPr>
              <w:t>实施重点生态区位商品林赎买等改革</w:t>
            </w:r>
            <w:r>
              <w:rPr>
                <w:rFonts w:hint="eastAsia" w:ascii="仿宋_GB2312" w:hAnsi="仿宋_GB2312" w:eastAsia="仿宋_GB2312" w:cs="仿宋_GB2312"/>
                <w:spacing w:val="0"/>
                <w:sz w:val="28"/>
                <w:szCs w:val="28"/>
                <w:lang w:val="en-US" w:eastAsia="zh-CN"/>
              </w:rPr>
              <w:t>0.7</w:t>
            </w:r>
            <w:r>
              <w:rPr>
                <w:rFonts w:hint="eastAsia" w:ascii="仿宋_GB2312" w:hAnsi="仿宋_GB2312" w:eastAsia="仿宋_GB2312" w:cs="仿宋_GB2312"/>
                <w:spacing w:val="0"/>
                <w:sz w:val="28"/>
                <w:szCs w:val="28"/>
              </w:rPr>
              <w:t>万亩。</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资源站</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spacing w:val="-20"/>
                <w:sz w:val="28"/>
                <w:szCs w:val="28"/>
                <w:vertAlign w:val="baseline"/>
                <w:lang w:val="en-US" w:eastAsia="zh-CN"/>
              </w:rPr>
              <w:t>0.5</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pacing w:val="-20"/>
                <w:sz w:val="28"/>
                <w:szCs w:val="28"/>
                <w:vertAlign w:val="baseline"/>
                <w:lang w:val="en-US" w:eastAsia="zh-CN"/>
              </w:rPr>
            </w:pP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spacing w:val="-20"/>
                <w:sz w:val="28"/>
                <w:szCs w:val="28"/>
                <w:vertAlign w:val="baseline"/>
                <w:lang w:val="en-US" w:eastAsia="zh-CN"/>
              </w:rPr>
              <w:t>0.2</w:t>
            </w: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116" w:type="dxa"/>
            <w:vMerge w:val="restart"/>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sz w:val="22"/>
                <w:szCs w:val="22"/>
                <w:vertAlign w:val="baseline"/>
                <w:lang w:val="en-US" w:eastAsia="zh-CN"/>
              </w:rPr>
            </w:pPr>
            <w:r>
              <w:rPr>
                <w:rFonts w:hint="eastAsia" w:ascii="宋体" w:hAnsi="宋体" w:cs="宋体"/>
                <w:b/>
                <w:bCs/>
                <w:sz w:val="28"/>
                <w:szCs w:val="28"/>
                <w:vertAlign w:val="baseline"/>
                <w:lang w:val="en-US" w:eastAsia="zh-CN"/>
              </w:rPr>
              <w:t>生物多样性保护</w:t>
            </w:r>
            <w:r>
              <w:rPr>
                <w:rFonts w:hint="eastAsia" w:ascii="宋体" w:hAnsi="宋体" w:eastAsia="宋体" w:cs="宋体"/>
                <w:b/>
                <w:bCs/>
                <w:sz w:val="28"/>
                <w:szCs w:val="28"/>
                <w:vertAlign w:val="baseline"/>
                <w:lang w:val="en-US" w:eastAsia="zh-CN"/>
              </w:rPr>
              <w:t>工程</w:t>
            </w: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vertAlign w:val="baseline"/>
                <w:lang w:val="en-US" w:eastAsia="zh-CN"/>
              </w:rPr>
            </w:pPr>
            <w:r>
              <w:rPr>
                <w:rFonts w:hint="eastAsia" w:ascii="仿宋_GB2312" w:hAnsi="仿宋_GB2312" w:eastAsia="仿宋_GB2312" w:cs="仿宋_GB2312"/>
                <w:spacing w:val="0"/>
                <w:sz w:val="28"/>
                <w:szCs w:val="28"/>
              </w:rPr>
              <w:t>实施珍贵濒危野生动植物保护项目</w:t>
            </w:r>
            <w:r>
              <w:rPr>
                <w:rFonts w:hint="eastAsia" w:ascii="仿宋_GB2312" w:hAnsi="仿宋_GB2312" w:eastAsia="仿宋_GB2312" w:cs="仿宋_GB2312"/>
                <w:spacing w:val="0"/>
                <w:sz w:val="28"/>
                <w:szCs w:val="28"/>
                <w:lang w:val="en-US" w:eastAsia="zh-CN"/>
              </w:rPr>
              <w:t>6</w:t>
            </w:r>
            <w:r>
              <w:rPr>
                <w:rFonts w:hint="eastAsia" w:ascii="仿宋_GB2312" w:hAnsi="仿宋_GB2312" w:eastAsia="仿宋_GB2312" w:cs="仿宋_GB2312"/>
                <w:spacing w:val="0"/>
                <w:sz w:val="28"/>
                <w:szCs w:val="28"/>
              </w:rPr>
              <w:t>个。</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资源站</w:t>
            </w:r>
          </w:p>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保护地中心</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kern w:val="0"/>
                <w:sz w:val="28"/>
                <w:szCs w:val="28"/>
                <w:highlight w:val="none"/>
                <w:vertAlign w:val="baseline"/>
                <w:lang w:val="en-US" w:eastAsia="zh-CN" w:bidi="ar-SA"/>
              </w:rPr>
            </w:pPr>
            <w:r>
              <w:rPr>
                <w:rFonts w:hint="eastAsia" w:ascii="仿宋_GB2312" w:hAnsi="仿宋_GB2312" w:eastAsia="仿宋_GB2312" w:cs="仿宋_GB2312"/>
                <w:sz w:val="28"/>
                <w:szCs w:val="28"/>
                <w:highlight w:val="none"/>
                <w:vertAlign w:val="baseline"/>
                <w:lang w:val="en-US" w:eastAsia="zh-CN"/>
              </w:rPr>
              <w:t>1</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kern w:val="0"/>
                <w:sz w:val="28"/>
                <w:szCs w:val="28"/>
                <w:highlight w:val="none"/>
                <w:vertAlign w:val="baseline"/>
                <w:lang w:val="en-US" w:eastAsia="zh-CN" w:bidi="ar-SA"/>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kern w:val="0"/>
                <w:sz w:val="28"/>
                <w:szCs w:val="28"/>
                <w:highlight w:val="none"/>
                <w:vertAlign w:val="baseline"/>
                <w:lang w:val="en-US" w:eastAsia="zh-CN" w:bidi="ar-SA"/>
              </w:rPr>
            </w:pPr>
            <w:r>
              <w:rPr>
                <w:rFonts w:hint="eastAsia" w:ascii="仿宋_GB2312" w:hAnsi="仿宋_GB2312" w:eastAsia="仿宋_GB2312" w:cs="仿宋_GB2312"/>
                <w:sz w:val="28"/>
                <w:szCs w:val="28"/>
                <w:highlight w:val="none"/>
                <w:vertAlign w:val="baseline"/>
                <w:lang w:val="en-US" w:eastAsia="zh-CN"/>
              </w:rPr>
              <w:t>1</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kern w:val="0"/>
                <w:sz w:val="28"/>
                <w:szCs w:val="28"/>
                <w:highlight w:val="none"/>
                <w:vertAlign w:val="baseline"/>
                <w:lang w:val="en-US" w:eastAsia="zh-CN" w:bidi="ar-SA"/>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kern w:val="0"/>
                <w:sz w:val="28"/>
                <w:szCs w:val="28"/>
                <w:highlight w:val="none"/>
                <w:vertAlign w:val="baseline"/>
                <w:lang w:val="en-US" w:eastAsia="zh-CN" w:bidi="ar-SA"/>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kern w:val="0"/>
                <w:sz w:val="28"/>
                <w:szCs w:val="28"/>
                <w:highlight w:val="none"/>
                <w:vertAlign w:val="baseline"/>
                <w:lang w:val="en-US" w:eastAsia="zh-CN" w:bidi="ar-SA"/>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kern w:val="0"/>
                <w:sz w:val="28"/>
                <w:szCs w:val="28"/>
                <w:highlight w:val="none"/>
                <w:vertAlign w:val="baseline"/>
                <w:lang w:val="en-US" w:eastAsia="zh-CN" w:bidi="ar-SA"/>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kern w:val="0"/>
                <w:sz w:val="28"/>
                <w:szCs w:val="28"/>
                <w:highlight w:val="none"/>
                <w:vertAlign w:val="baseline"/>
                <w:lang w:val="en-US" w:eastAsia="zh-CN" w:bidi="ar-SA"/>
              </w:rPr>
            </w:pPr>
            <w:r>
              <w:rPr>
                <w:rFonts w:hint="eastAsia" w:ascii="仿宋_GB2312" w:hAnsi="仿宋_GB2312" w:eastAsia="仿宋_GB2312" w:cs="仿宋_GB2312"/>
                <w:sz w:val="28"/>
                <w:szCs w:val="28"/>
                <w:highlight w:val="none"/>
                <w:vertAlign w:val="baseline"/>
                <w:lang w:val="en-US" w:eastAsia="zh-CN"/>
              </w:rPr>
              <w:t>1</w:t>
            </w: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kern w:val="0"/>
                <w:sz w:val="28"/>
                <w:szCs w:val="28"/>
                <w:highlight w:val="none"/>
                <w:vertAlign w:val="baseline"/>
                <w:lang w:val="en-US" w:eastAsia="zh-CN" w:bidi="ar-SA"/>
              </w:rPr>
            </w:pPr>
            <w:r>
              <w:rPr>
                <w:rFonts w:hint="eastAsia" w:ascii="仿宋_GB2312" w:hAnsi="仿宋_GB2312" w:eastAsia="仿宋_GB2312" w:cs="仿宋_GB2312"/>
                <w:sz w:val="28"/>
                <w:szCs w:val="28"/>
                <w:highlight w:val="none"/>
                <w:vertAlign w:val="baseline"/>
                <w:lang w:val="en-US" w:eastAsia="zh-CN"/>
              </w:rPr>
              <w:t>3</w:t>
            </w: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1116" w:type="dxa"/>
            <w:vMerge w:val="continue"/>
          </w:tcPr>
          <w:p>
            <w:pPr>
              <w:pStyle w:val="2"/>
              <w:keepNext w:val="0"/>
              <w:keepLines w:val="0"/>
              <w:pageBreakBefore w:val="0"/>
              <w:kinsoku/>
              <w:wordWrap/>
              <w:overflowPunct/>
              <w:topLinePunct w:val="0"/>
              <w:autoSpaceDE/>
              <w:autoSpaceDN/>
              <w:bidi w:val="0"/>
              <w:adjustRightInd/>
              <w:snapToGrid/>
              <w:spacing w:after="0"/>
              <w:ind w:firstLine="0" w:firstLineChars="0"/>
              <w:rPr>
                <w:rFonts w:hint="eastAsia" w:ascii="宋体" w:hAnsi="宋体" w:eastAsia="宋体" w:cs="宋体"/>
                <w:sz w:val="22"/>
                <w:szCs w:val="22"/>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pacing w:val="-9"/>
                <w:sz w:val="28"/>
                <w:szCs w:val="28"/>
              </w:rPr>
              <w:t>抢救复壮</w:t>
            </w:r>
            <w:r>
              <w:rPr>
                <w:rFonts w:hint="eastAsia" w:ascii="仿宋_GB2312" w:hAnsi="仿宋_GB2312" w:eastAsia="仿宋_GB2312" w:cs="仿宋_GB2312"/>
                <w:spacing w:val="-9"/>
                <w:sz w:val="28"/>
                <w:szCs w:val="28"/>
                <w:lang w:val="en-US" w:eastAsia="zh-CN"/>
              </w:rPr>
              <w:t>5</w:t>
            </w:r>
            <w:r>
              <w:rPr>
                <w:rFonts w:hint="eastAsia" w:ascii="仿宋_GB2312" w:hAnsi="仿宋_GB2312" w:eastAsia="仿宋_GB2312" w:cs="仿宋_GB2312"/>
                <w:spacing w:val="-9"/>
                <w:sz w:val="28"/>
                <w:szCs w:val="28"/>
              </w:rPr>
              <w:t>株重点古树</w:t>
            </w:r>
            <w:r>
              <w:rPr>
                <w:rFonts w:hint="eastAsia" w:ascii="仿宋_GB2312" w:hAnsi="仿宋_GB2312" w:eastAsia="仿宋_GB2312" w:cs="仿宋_GB2312"/>
                <w:spacing w:val="-9"/>
                <w:sz w:val="28"/>
                <w:szCs w:val="28"/>
                <w:lang w:eastAsia="zh-CN"/>
              </w:rPr>
              <w:t>名木。</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绿化办</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工程</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cs="宋体"/>
                <w:b/>
                <w:bCs/>
                <w:sz w:val="28"/>
                <w:szCs w:val="28"/>
                <w:vertAlign w:val="baseline"/>
                <w:lang w:val="en-US" w:eastAsia="zh-CN"/>
              </w:rPr>
            </w:pPr>
            <w:r>
              <w:rPr>
                <w:rFonts w:hint="eastAsia" w:ascii="黑体" w:hAnsi="黑体" w:eastAsia="黑体" w:cs="黑体"/>
                <w:i w:val="0"/>
                <w:iCs w:val="0"/>
                <w:color w:val="000000"/>
                <w:kern w:val="0"/>
                <w:sz w:val="28"/>
                <w:szCs w:val="28"/>
                <w:u w:val="none"/>
                <w:lang w:val="en-US" w:eastAsia="zh-CN" w:bidi="ar"/>
              </w:rPr>
              <w:t>名称</w:t>
            </w:r>
          </w:p>
        </w:tc>
        <w:tc>
          <w:tcPr>
            <w:tcW w:w="2790"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spacing w:val="0"/>
                <w:sz w:val="28"/>
              </w:rPr>
            </w:pPr>
            <w:r>
              <w:rPr>
                <w:rFonts w:hint="eastAsia" w:ascii="黑体" w:hAnsi="黑体" w:eastAsia="黑体" w:cs="黑体"/>
                <w:i w:val="0"/>
                <w:iCs w:val="0"/>
                <w:color w:val="000000"/>
                <w:kern w:val="0"/>
                <w:sz w:val="28"/>
                <w:szCs w:val="28"/>
                <w:u w:val="none"/>
                <w:lang w:val="en-US" w:eastAsia="zh-CN" w:bidi="ar"/>
              </w:rPr>
              <w:t>项目任务</w:t>
            </w:r>
          </w:p>
        </w:tc>
        <w:tc>
          <w:tcPr>
            <w:tcW w:w="1104"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责任</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sz w:val="28"/>
                <w:szCs w:val="28"/>
                <w:vertAlign w:val="baseline"/>
                <w:lang w:val="en-US" w:eastAsia="zh-CN"/>
              </w:rPr>
            </w:pPr>
            <w:r>
              <w:rPr>
                <w:rFonts w:hint="eastAsia" w:ascii="黑体" w:hAnsi="黑体" w:eastAsia="黑体" w:cs="黑体"/>
                <w:i w:val="0"/>
                <w:iCs w:val="0"/>
                <w:color w:val="000000"/>
                <w:kern w:val="0"/>
                <w:sz w:val="28"/>
                <w:szCs w:val="28"/>
                <w:u w:val="none"/>
                <w:lang w:val="en-US" w:eastAsia="zh-CN" w:bidi="ar"/>
              </w:rPr>
              <w:t>处室</w:t>
            </w:r>
          </w:p>
        </w:tc>
        <w:tc>
          <w:tcPr>
            <w:tcW w:w="8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sz w:val="28"/>
                <w:szCs w:val="28"/>
                <w:vertAlign w:val="baseline"/>
                <w:lang w:val="en-US" w:eastAsia="zh-CN"/>
              </w:rPr>
            </w:pPr>
            <w:r>
              <w:rPr>
                <w:rFonts w:hint="eastAsia" w:ascii="黑体" w:hAnsi="黑体" w:eastAsia="黑体" w:cs="黑体"/>
                <w:sz w:val="28"/>
                <w:szCs w:val="28"/>
                <w:vertAlign w:val="baseline"/>
                <w:lang w:val="en-US" w:eastAsia="zh-CN"/>
              </w:rPr>
              <w:t>台江</w:t>
            </w:r>
          </w:p>
        </w:tc>
        <w:tc>
          <w:tcPr>
            <w:tcW w:w="85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晋安</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马尾</w:t>
            </w:r>
          </w:p>
        </w:tc>
        <w:tc>
          <w:tcPr>
            <w:tcW w:w="8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长乐</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福清</w:t>
            </w:r>
          </w:p>
        </w:tc>
        <w:tc>
          <w:tcPr>
            <w:tcW w:w="85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闽侯</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连江</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闽清</w:t>
            </w:r>
          </w:p>
        </w:tc>
        <w:tc>
          <w:tcPr>
            <w:tcW w:w="8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罗源</w:t>
            </w:r>
          </w:p>
        </w:tc>
        <w:tc>
          <w:tcPr>
            <w:tcW w:w="79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永泰</w:t>
            </w: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高新区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16" w:type="dxa"/>
            <w:vMerge w:val="restart"/>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sz w:val="22"/>
                <w:szCs w:val="22"/>
                <w:vertAlign w:val="baseline"/>
                <w:lang w:val="en-US" w:eastAsia="zh-CN"/>
              </w:rPr>
            </w:pPr>
            <w:r>
              <w:rPr>
                <w:rFonts w:hint="eastAsia" w:ascii="宋体" w:hAnsi="宋体" w:cs="宋体"/>
                <w:b/>
                <w:bCs/>
                <w:sz w:val="28"/>
                <w:szCs w:val="28"/>
                <w:vertAlign w:val="baseline"/>
                <w:lang w:val="en-US" w:eastAsia="zh-CN"/>
              </w:rPr>
              <w:t>城乡绿化和绿色通道建设工程</w:t>
            </w: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firstLine="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植树造林</w:t>
            </w:r>
            <w:r>
              <w:rPr>
                <w:rFonts w:hint="eastAsia" w:ascii="仿宋_GB2312" w:hAnsi="仿宋_GB2312" w:eastAsia="仿宋_GB2312" w:cs="仿宋_GB2312"/>
                <w:spacing w:val="0"/>
                <w:sz w:val="28"/>
                <w:lang w:val="en-US" w:eastAsia="zh-CN"/>
              </w:rPr>
              <w:t>7</w:t>
            </w:r>
            <w:r>
              <w:rPr>
                <w:rFonts w:hint="eastAsia" w:ascii="仿宋_GB2312" w:hAnsi="仿宋_GB2312" w:eastAsia="仿宋_GB2312" w:cs="仿宋_GB2312"/>
                <w:spacing w:val="0"/>
                <w:sz w:val="28"/>
              </w:rPr>
              <w:t>万亩。</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造林处</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kern w:val="0"/>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0.135</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kern w:val="0"/>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0.211</w:t>
            </w: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kern w:val="0"/>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0.13</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kern w:val="0"/>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1.035</w:t>
            </w: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kern w:val="0"/>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0.68</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kern w:val="0"/>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0.5</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kern w:val="0"/>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1.32</w:t>
            </w: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kern w:val="0"/>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0.558</w:t>
            </w:r>
          </w:p>
        </w:tc>
        <w:tc>
          <w:tcPr>
            <w:tcW w:w="79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kern w:val="0"/>
                <w:sz w:val="28"/>
                <w:szCs w:val="28"/>
                <w:vertAlign w:val="baseline"/>
                <w:lang w:val="en-US" w:eastAsia="zh-CN"/>
              </w:rPr>
            </w:pPr>
            <w:r>
              <w:rPr>
                <w:rFonts w:hint="eastAsia" w:ascii="仿宋_GB2312" w:hAnsi="仿宋_GB2312" w:eastAsia="仿宋_GB2312" w:cs="仿宋_GB2312"/>
                <w:i w:val="0"/>
                <w:iCs w:val="0"/>
                <w:color w:val="000000"/>
                <w:spacing w:val="-28"/>
                <w:kern w:val="0"/>
                <w:sz w:val="28"/>
                <w:szCs w:val="28"/>
                <w:u w:val="none"/>
                <w:lang w:val="en-US" w:eastAsia="zh-CN" w:bidi="ar"/>
              </w:rPr>
              <w:t>2.416</w:t>
            </w:r>
          </w:p>
        </w:tc>
        <w:tc>
          <w:tcPr>
            <w:tcW w:w="112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kern w:val="0"/>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1116" w:type="dxa"/>
            <w:vMerge w:val="continue"/>
          </w:tcPr>
          <w:p>
            <w:pPr>
              <w:pStyle w:val="2"/>
              <w:keepNext w:val="0"/>
              <w:keepLines w:val="0"/>
              <w:pageBreakBefore w:val="0"/>
              <w:kinsoku/>
              <w:wordWrap/>
              <w:overflowPunct/>
              <w:topLinePunct w:val="0"/>
              <w:autoSpaceDE/>
              <w:autoSpaceDN/>
              <w:bidi w:val="0"/>
              <w:adjustRightInd/>
              <w:snapToGrid/>
              <w:spacing w:after="0"/>
              <w:ind w:firstLine="0" w:firstLineChars="0"/>
              <w:rPr>
                <w:rFonts w:hint="eastAsia" w:ascii="宋体" w:hAnsi="宋体" w:eastAsia="宋体" w:cs="宋体"/>
                <w:sz w:val="22"/>
                <w:szCs w:val="22"/>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新建省级森林乡镇</w:t>
            </w:r>
            <w:r>
              <w:rPr>
                <w:rFonts w:hint="eastAsia" w:ascii="仿宋_GB2312" w:hAnsi="仿宋_GB2312" w:eastAsia="仿宋_GB2312" w:cs="仿宋_GB2312"/>
                <w:spacing w:val="0"/>
                <w:sz w:val="28"/>
                <w:lang w:val="en-US" w:eastAsia="zh-CN"/>
              </w:rPr>
              <w:t>1</w:t>
            </w:r>
            <w:r>
              <w:rPr>
                <w:rFonts w:hint="eastAsia" w:ascii="仿宋_GB2312" w:hAnsi="仿宋_GB2312" w:eastAsia="仿宋_GB2312" w:cs="仿宋_GB2312"/>
                <w:spacing w:val="0"/>
                <w:sz w:val="28"/>
              </w:rPr>
              <w:t>个。</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绿化办</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1116" w:type="dxa"/>
            <w:vMerge w:val="continue"/>
          </w:tcPr>
          <w:p>
            <w:pPr>
              <w:pStyle w:val="2"/>
              <w:keepNext w:val="0"/>
              <w:keepLines w:val="0"/>
              <w:pageBreakBefore w:val="0"/>
              <w:kinsoku/>
              <w:wordWrap/>
              <w:overflowPunct/>
              <w:topLinePunct w:val="0"/>
              <w:autoSpaceDE/>
              <w:autoSpaceDN/>
              <w:bidi w:val="0"/>
              <w:adjustRightInd/>
              <w:snapToGrid/>
              <w:spacing w:after="0"/>
              <w:ind w:firstLine="0" w:firstLineChars="0"/>
              <w:rPr>
                <w:rFonts w:hint="eastAsia" w:ascii="宋体" w:hAnsi="宋体" w:eastAsia="宋体" w:cs="宋体"/>
                <w:sz w:val="22"/>
                <w:szCs w:val="22"/>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新建省级森林村庄1</w:t>
            </w:r>
            <w:r>
              <w:rPr>
                <w:rFonts w:hint="eastAsia" w:ascii="仿宋_GB2312" w:hAnsi="仿宋_GB2312" w:eastAsia="仿宋_GB2312" w:cs="仿宋_GB2312"/>
                <w:spacing w:val="0"/>
                <w:sz w:val="28"/>
                <w:lang w:val="en-US" w:eastAsia="zh-CN"/>
              </w:rPr>
              <w:t>3</w:t>
            </w:r>
            <w:r>
              <w:rPr>
                <w:rFonts w:hint="eastAsia" w:ascii="仿宋_GB2312" w:hAnsi="仿宋_GB2312" w:eastAsia="仿宋_GB2312" w:cs="仿宋_GB2312"/>
                <w:spacing w:val="0"/>
                <w:sz w:val="28"/>
              </w:rPr>
              <w:t>个。</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绿化办</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1116" w:type="dxa"/>
            <w:vMerge w:val="continue"/>
          </w:tcPr>
          <w:p>
            <w:pPr>
              <w:pStyle w:val="2"/>
              <w:keepNext w:val="0"/>
              <w:keepLines w:val="0"/>
              <w:pageBreakBefore w:val="0"/>
              <w:kinsoku/>
              <w:wordWrap/>
              <w:overflowPunct/>
              <w:topLinePunct w:val="0"/>
              <w:autoSpaceDE/>
              <w:autoSpaceDN/>
              <w:bidi w:val="0"/>
              <w:adjustRightInd/>
              <w:snapToGrid/>
              <w:spacing w:after="0"/>
              <w:ind w:firstLine="0" w:firstLineChars="0"/>
              <w:rPr>
                <w:rFonts w:hint="eastAsia" w:ascii="宋体" w:hAnsi="宋体" w:eastAsia="宋体" w:cs="宋体"/>
                <w:sz w:val="22"/>
                <w:szCs w:val="22"/>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完成森林步道建设</w:t>
            </w:r>
            <w:r>
              <w:rPr>
                <w:rFonts w:hint="eastAsia" w:ascii="仿宋_GB2312" w:hAnsi="仿宋_GB2312" w:eastAsia="仿宋_GB2312" w:cs="仿宋_GB2312"/>
                <w:spacing w:val="0"/>
                <w:sz w:val="28"/>
                <w:lang w:val="en-US" w:eastAsia="zh-CN"/>
              </w:rPr>
              <w:t>3</w:t>
            </w:r>
            <w:r>
              <w:rPr>
                <w:rFonts w:hint="eastAsia" w:ascii="仿宋_GB2312" w:hAnsi="仿宋_GB2312" w:eastAsia="仿宋_GB2312" w:cs="仿宋_GB2312"/>
                <w:spacing w:val="0"/>
                <w:sz w:val="28"/>
              </w:rPr>
              <w:t>公里。</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林场处</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1116" w:type="dxa"/>
            <w:vMerge w:val="continue"/>
          </w:tcPr>
          <w:p>
            <w:pPr>
              <w:pStyle w:val="2"/>
              <w:keepNext w:val="0"/>
              <w:keepLines w:val="0"/>
              <w:pageBreakBefore w:val="0"/>
              <w:kinsoku/>
              <w:wordWrap/>
              <w:overflowPunct/>
              <w:topLinePunct w:val="0"/>
              <w:autoSpaceDE/>
              <w:autoSpaceDN/>
              <w:bidi w:val="0"/>
              <w:adjustRightInd/>
              <w:snapToGrid/>
              <w:spacing w:after="0"/>
              <w:ind w:firstLine="0" w:firstLineChars="0"/>
              <w:rPr>
                <w:rFonts w:hint="eastAsia" w:ascii="宋体" w:hAnsi="宋体" w:eastAsia="宋体" w:cs="宋体"/>
                <w:sz w:val="22"/>
                <w:szCs w:val="22"/>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建设珍贵树种造林示范区</w:t>
            </w:r>
            <w:r>
              <w:rPr>
                <w:rFonts w:hint="eastAsia" w:ascii="仿宋_GB2312" w:hAnsi="仿宋_GB2312" w:eastAsia="仿宋_GB2312" w:cs="仿宋_GB2312"/>
                <w:spacing w:val="0"/>
                <w:sz w:val="28"/>
                <w:lang w:val="en-US" w:eastAsia="zh-CN"/>
              </w:rPr>
              <w:t>3</w:t>
            </w:r>
            <w:r>
              <w:rPr>
                <w:rFonts w:hint="eastAsia" w:ascii="仿宋_GB2312" w:hAnsi="仿宋_GB2312" w:eastAsia="仿宋_GB2312" w:cs="仿宋_GB2312"/>
                <w:spacing w:val="0"/>
                <w:sz w:val="28"/>
              </w:rPr>
              <w:t>个。</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造林处</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816" w:type="dxa"/>
            <w:vAlign w:val="center"/>
          </w:tcPr>
          <w:p>
            <w:pPr>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79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1116" w:type="dxa"/>
            <w:vMerge w:val="continue"/>
          </w:tcPr>
          <w:p>
            <w:pPr>
              <w:pStyle w:val="2"/>
              <w:keepNext w:val="0"/>
              <w:keepLines w:val="0"/>
              <w:pageBreakBefore w:val="0"/>
              <w:kinsoku/>
              <w:wordWrap/>
              <w:overflowPunct/>
              <w:topLinePunct w:val="0"/>
              <w:autoSpaceDE/>
              <w:autoSpaceDN/>
              <w:bidi w:val="0"/>
              <w:adjustRightInd/>
              <w:snapToGrid/>
              <w:spacing w:after="0"/>
              <w:ind w:firstLine="0" w:firstLineChars="0"/>
              <w:rPr>
                <w:rFonts w:hint="eastAsia" w:ascii="宋体" w:hAnsi="宋体" w:eastAsia="宋体" w:cs="宋体"/>
                <w:sz w:val="22"/>
                <w:szCs w:val="22"/>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推进重点区域林相改善0.935万亩。</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造林处</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i w:val="0"/>
                <w:iCs w:val="0"/>
                <w:color w:val="000000"/>
                <w:spacing w:val="-20"/>
                <w:kern w:val="0"/>
                <w:sz w:val="28"/>
                <w:szCs w:val="28"/>
                <w:u w:val="none"/>
                <w:lang w:val="en-US" w:eastAsia="zh-CN" w:bidi="ar"/>
              </w:rPr>
              <w:t>0.08</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i w:val="0"/>
                <w:iCs w:val="0"/>
                <w:color w:val="000000"/>
                <w:spacing w:val="-20"/>
                <w:kern w:val="0"/>
                <w:sz w:val="28"/>
                <w:szCs w:val="28"/>
                <w:u w:val="none"/>
                <w:lang w:val="en-US" w:eastAsia="zh-CN" w:bidi="ar"/>
              </w:rPr>
              <w:t>0.05</w:t>
            </w: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i w:val="0"/>
                <w:iCs w:val="0"/>
                <w:color w:val="000000"/>
                <w:spacing w:val="-20"/>
                <w:kern w:val="0"/>
                <w:sz w:val="28"/>
                <w:szCs w:val="28"/>
                <w:u w:val="none"/>
                <w:lang w:val="en-US" w:eastAsia="zh-CN" w:bidi="ar"/>
              </w:rPr>
              <w:t>0.03</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i w:val="0"/>
                <w:iCs w:val="0"/>
                <w:color w:val="000000"/>
                <w:spacing w:val="-20"/>
                <w:kern w:val="0"/>
                <w:sz w:val="28"/>
                <w:szCs w:val="28"/>
                <w:u w:val="none"/>
                <w:lang w:val="en-US" w:eastAsia="zh-CN" w:bidi="ar"/>
              </w:rPr>
              <w:t>0.15</w:t>
            </w: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i w:val="0"/>
                <w:iCs w:val="0"/>
                <w:color w:val="000000"/>
                <w:spacing w:val="-20"/>
                <w:kern w:val="0"/>
                <w:sz w:val="28"/>
                <w:szCs w:val="28"/>
                <w:u w:val="none"/>
                <w:lang w:val="en-US" w:eastAsia="zh-CN" w:bidi="ar"/>
              </w:rPr>
              <w:t>0.12</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i w:val="0"/>
                <w:iCs w:val="0"/>
                <w:color w:val="000000"/>
                <w:spacing w:val="-20"/>
                <w:kern w:val="0"/>
                <w:sz w:val="28"/>
                <w:szCs w:val="28"/>
                <w:u w:val="none"/>
                <w:lang w:val="en-US" w:eastAsia="zh-CN" w:bidi="ar"/>
              </w:rPr>
              <w:t>0.05</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i w:val="0"/>
                <w:iCs w:val="0"/>
                <w:color w:val="000000"/>
                <w:spacing w:val="-20"/>
                <w:kern w:val="0"/>
                <w:sz w:val="28"/>
                <w:szCs w:val="28"/>
                <w:u w:val="none"/>
                <w:lang w:val="en-US" w:eastAsia="zh-CN" w:bidi="ar"/>
              </w:rPr>
              <w:t>0.13</w:t>
            </w: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i w:val="0"/>
                <w:iCs w:val="0"/>
                <w:color w:val="000000"/>
                <w:spacing w:val="-20"/>
                <w:kern w:val="0"/>
                <w:sz w:val="28"/>
                <w:szCs w:val="28"/>
                <w:u w:val="none"/>
                <w:lang w:val="en-US" w:eastAsia="zh-CN" w:bidi="ar"/>
              </w:rPr>
              <w:t>0.02</w:t>
            </w:r>
          </w:p>
        </w:tc>
        <w:tc>
          <w:tcPr>
            <w:tcW w:w="79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i w:val="0"/>
                <w:iCs w:val="0"/>
                <w:color w:val="000000"/>
                <w:spacing w:val="-20"/>
                <w:kern w:val="0"/>
                <w:sz w:val="28"/>
                <w:szCs w:val="28"/>
                <w:u w:val="none"/>
                <w:lang w:val="en-US" w:eastAsia="zh-CN" w:bidi="ar"/>
              </w:rPr>
              <w:t>0.29</w:t>
            </w:r>
          </w:p>
        </w:tc>
        <w:tc>
          <w:tcPr>
            <w:tcW w:w="112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0"/>
                <w:sz w:val="28"/>
                <w:szCs w:val="28"/>
                <w:vertAlign w:val="baseline"/>
                <w:lang w:val="en-US" w:eastAsia="zh-CN"/>
              </w:rPr>
            </w:pPr>
            <w:r>
              <w:rPr>
                <w:rFonts w:hint="eastAsia" w:ascii="仿宋_GB2312" w:hAnsi="仿宋_GB2312" w:eastAsia="仿宋_GB2312" w:cs="仿宋_GB2312"/>
                <w:i w:val="0"/>
                <w:iCs w:val="0"/>
                <w:color w:val="000000"/>
                <w:spacing w:val="-28"/>
                <w:kern w:val="0"/>
                <w:sz w:val="28"/>
                <w:szCs w:val="28"/>
                <w:u w:val="none"/>
                <w:lang w:val="en-US" w:eastAsia="zh-CN" w:bidi="ar"/>
              </w:rPr>
              <w:t>0.015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trPr>
        <w:tc>
          <w:tcPr>
            <w:tcW w:w="1116" w:type="dxa"/>
            <w:vMerge w:val="continue"/>
          </w:tcPr>
          <w:p>
            <w:pPr>
              <w:pStyle w:val="2"/>
              <w:keepNext w:val="0"/>
              <w:keepLines w:val="0"/>
              <w:pageBreakBefore w:val="0"/>
              <w:kinsoku/>
              <w:wordWrap/>
              <w:overflowPunct/>
              <w:topLinePunct w:val="0"/>
              <w:autoSpaceDE/>
              <w:autoSpaceDN/>
              <w:bidi w:val="0"/>
              <w:adjustRightInd/>
              <w:snapToGrid/>
              <w:spacing w:after="0"/>
              <w:ind w:firstLine="0" w:firstLineChars="0"/>
              <w:rPr>
                <w:rFonts w:hint="eastAsia" w:ascii="宋体" w:hAnsi="宋体" w:eastAsia="宋体" w:cs="宋体"/>
                <w:sz w:val="22"/>
                <w:szCs w:val="22"/>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建设省级“互联网+全民义务植树”基地</w:t>
            </w:r>
            <w:r>
              <w:rPr>
                <w:rFonts w:hint="eastAsia" w:ascii="仿宋_GB2312" w:hAnsi="仿宋_GB2312" w:eastAsia="仿宋_GB2312" w:cs="仿宋_GB2312"/>
                <w:spacing w:val="0"/>
                <w:sz w:val="28"/>
                <w:lang w:val="en-US" w:eastAsia="zh-CN"/>
              </w:rPr>
              <w:t>1</w:t>
            </w:r>
            <w:r>
              <w:rPr>
                <w:rFonts w:hint="eastAsia" w:ascii="仿宋_GB2312" w:hAnsi="仿宋_GB2312" w:eastAsia="仿宋_GB2312" w:cs="仿宋_GB2312"/>
                <w:spacing w:val="0"/>
                <w:sz w:val="28"/>
              </w:rPr>
              <w:t>个。</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绿化办</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116" w:type="dxa"/>
            <w:vMerge w:val="restart"/>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b/>
                <w:bCs/>
                <w:sz w:val="28"/>
                <w:szCs w:val="28"/>
                <w:vertAlign w:val="baseline"/>
                <w:lang w:val="en-US" w:eastAsia="zh-CN"/>
              </w:rPr>
              <w:t>商品用材林工程</w:t>
            </w:r>
          </w:p>
        </w:tc>
        <w:tc>
          <w:tcPr>
            <w:tcW w:w="2790"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spacing w:val="-9"/>
                <w:sz w:val="28"/>
                <w:szCs w:val="28"/>
              </w:rPr>
            </w:pPr>
            <w:r>
              <w:rPr>
                <w:rFonts w:hint="eastAsia" w:ascii="仿宋_GB2312" w:hAnsi="仿宋_GB2312" w:eastAsia="仿宋_GB2312" w:cs="仿宋_GB2312"/>
                <w:i w:val="0"/>
                <w:iCs w:val="0"/>
                <w:color w:val="000000"/>
                <w:kern w:val="0"/>
                <w:sz w:val="28"/>
                <w:szCs w:val="28"/>
                <w:u w:val="none"/>
                <w:lang w:val="en-US" w:eastAsia="zh-CN" w:bidi="ar"/>
              </w:rPr>
              <w:t>森林抚育26万亩。</w:t>
            </w:r>
          </w:p>
        </w:tc>
        <w:tc>
          <w:tcPr>
            <w:tcW w:w="1104" w:type="dxa"/>
            <w:vMerge w:val="restart"/>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造林处</w:t>
            </w:r>
          </w:p>
        </w:tc>
        <w:tc>
          <w:tcPr>
            <w:tcW w:w="828" w:type="dxa"/>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rPr>
                <w:rFonts w:hint="eastAsia" w:ascii="仿宋_GB2312" w:hAnsi="仿宋_GB2312" w:eastAsia="仿宋_GB2312" w:cs="仿宋_GB2312"/>
                <w:sz w:val="28"/>
                <w:szCs w:val="28"/>
                <w:vertAlign w:val="baseline"/>
                <w:lang w:val="en-US" w:eastAsia="zh-CN"/>
              </w:rPr>
            </w:pP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1.25</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1.1</w:t>
            </w: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1.8</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2.45</w:t>
            </w: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3.9</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3</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4</w:t>
            </w: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3.5</w:t>
            </w:r>
          </w:p>
        </w:tc>
        <w:tc>
          <w:tcPr>
            <w:tcW w:w="79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5</w:t>
            </w:r>
          </w:p>
        </w:tc>
        <w:tc>
          <w:tcPr>
            <w:tcW w:w="1122" w:type="dxa"/>
            <w:vAlign w:val="center"/>
          </w:tcPr>
          <w:p>
            <w:pPr>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116" w:type="dxa"/>
            <w:vMerge w:val="continue"/>
          </w:tcPr>
          <w:p>
            <w:pPr>
              <w:pStyle w:val="2"/>
              <w:keepNext w:val="0"/>
              <w:keepLines w:val="0"/>
              <w:pageBreakBefore w:val="0"/>
              <w:kinsoku/>
              <w:wordWrap/>
              <w:overflowPunct/>
              <w:topLinePunct w:val="0"/>
              <w:autoSpaceDE/>
              <w:autoSpaceDN/>
              <w:bidi w:val="0"/>
              <w:adjustRightInd/>
              <w:snapToGrid/>
              <w:spacing w:after="0"/>
              <w:ind w:firstLine="0" w:firstLineChars="0"/>
              <w:rPr>
                <w:rFonts w:hint="eastAsia" w:ascii="宋体" w:hAnsi="宋体" w:eastAsia="宋体" w:cs="宋体"/>
                <w:sz w:val="22"/>
                <w:szCs w:val="22"/>
                <w:vertAlign w:val="baseline"/>
                <w:lang w:val="en-US" w:eastAsia="zh-CN"/>
              </w:rPr>
            </w:pPr>
          </w:p>
        </w:tc>
        <w:tc>
          <w:tcPr>
            <w:tcW w:w="2790"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spacing w:val="-9"/>
                <w:sz w:val="28"/>
                <w:szCs w:val="28"/>
              </w:rPr>
            </w:pPr>
            <w:r>
              <w:rPr>
                <w:rFonts w:hint="eastAsia" w:ascii="仿宋_GB2312" w:hAnsi="仿宋_GB2312" w:eastAsia="仿宋_GB2312" w:cs="仿宋_GB2312"/>
                <w:i w:val="0"/>
                <w:iCs w:val="0"/>
                <w:color w:val="000000"/>
                <w:kern w:val="0"/>
                <w:sz w:val="28"/>
                <w:szCs w:val="28"/>
                <w:u w:val="none"/>
                <w:lang w:val="en-US" w:eastAsia="zh-CN" w:bidi="ar"/>
              </w:rPr>
              <w:t>封山育林12万亩。</w:t>
            </w:r>
          </w:p>
        </w:tc>
        <w:tc>
          <w:tcPr>
            <w:tcW w:w="1104" w:type="dxa"/>
            <w:vMerge w:val="continue"/>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rPr>
                <w:rFonts w:hint="eastAsia" w:ascii="仿宋_GB2312" w:hAnsi="仿宋_GB2312" w:eastAsia="仿宋_GB2312" w:cs="仿宋_GB2312"/>
                <w:sz w:val="28"/>
                <w:szCs w:val="28"/>
                <w:vertAlign w:val="baseline"/>
                <w:lang w:val="en-US" w:eastAsia="zh-CN"/>
              </w:rPr>
            </w:pP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1.2</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0.3</w:t>
            </w: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1</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1</w:t>
            </w: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1.8</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1</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1</w:t>
            </w: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3</w:t>
            </w:r>
          </w:p>
        </w:tc>
        <w:tc>
          <w:tcPr>
            <w:tcW w:w="79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1.4</w:t>
            </w:r>
          </w:p>
        </w:tc>
        <w:tc>
          <w:tcPr>
            <w:tcW w:w="112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1116" w:type="dxa"/>
            <w:vMerge w:val="continue"/>
          </w:tcPr>
          <w:p>
            <w:pPr>
              <w:pStyle w:val="2"/>
              <w:keepNext w:val="0"/>
              <w:keepLines w:val="0"/>
              <w:pageBreakBefore w:val="0"/>
              <w:kinsoku/>
              <w:wordWrap/>
              <w:overflowPunct/>
              <w:topLinePunct w:val="0"/>
              <w:autoSpaceDE/>
              <w:autoSpaceDN/>
              <w:bidi w:val="0"/>
              <w:adjustRightInd/>
              <w:snapToGrid/>
              <w:spacing w:after="0"/>
              <w:ind w:firstLine="0" w:firstLineChars="0"/>
              <w:rPr>
                <w:rFonts w:hint="eastAsia" w:ascii="宋体" w:hAnsi="宋体" w:eastAsia="宋体" w:cs="宋体"/>
                <w:sz w:val="22"/>
                <w:szCs w:val="22"/>
                <w:vertAlign w:val="baseline"/>
                <w:lang w:val="en-US" w:eastAsia="zh-CN"/>
              </w:rPr>
            </w:pPr>
          </w:p>
        </w:tc>
        <w:tc>
          <w:tcPr>
            <w:tcW w:w="2790"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spacing w:val="-9"/>
                <w:sz w:val="28"/>
                <w:szCs w:val="28"/>
              </w:rPr>
            </w:pPr>
            <w:r>
              <w:rPr>
                <w:rFonts w:hint="eastAsia" w:ascii="仿宋_GB2312" w:hAnsi="仿宋_GB2312" w:eastAsia="仿宋_GB2312" w:cs="仿宋_GB2312"/>
                <w:i w:val="0"/>
                <w:iCs w:val="0"/>
                <w:color w:val="000000"/>
                <w:kern w:val="0"/>
                <w:sz w:val="28"/>
                <w:szCs w:val="28"/>
                <w:u w:val="none"/>
                <w:lang w:val="en-US" w:eastAsia="zh-CN" w:bidi="ar"/>
              </w:rPr>
              <w:t>珍贵用材树种培育1.2万亩。</w:t>
            </w:r>
          </w:p>
        </w:tc>
        <w:tc>
          <w:tcPr>
            <w:tcW w:w="1104" w:type="dxa"/>
            <w:vMerge w:val="continue"/>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rPr>
                <w:rFonts w:hint="eastAsia" w:ascii="仿宋_GB2312" w:hAnsi="仿宋_GB2312" w:eastAsia="仿宋_GB2312" w:cs="仿宋_GB2312"/>
                <w:sz w:val="28"/>
                <w:szCs w:val="28"/>
                <w:vertAlign w:val="baseline"/>
                <w:lang w:val="en-US" w:eastAsia="zh-CN"/>
              </w:rPr>
            </w:pP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0.02</w:t>
            </w:r>
          </w:p>
        </w:tc>
        <w:tc>
          <w:tcPr>
            <w:tcW w:w="816" w:type="dxa"/>
            <w:vAlign w:val="center"/>
          </w:tcPr>
          <w:p>
            <w:pPr>
              <w:jc w:val="center"/>
              <w:rPr>
                <w:rFonts w:hint="eastAsia" w:ascii="仿宋_GB2312" w:hAnsi="仿宋_GB2312" w:eastAsia="仿宋_GB2312" w:cs="仿宋_GB2312"/>
                <w:spacing w:val="-23"/>
                <w:sz w:val="28"/>
                <w:szCs w:val="28"/>
                <w:vertAlign w:val="baseline"/>
                <w:lang w:val="en-US" w:eastAsia="zh-CN"/>
              </w:rPr>
            </w:pP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0.03</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0.115</w:t>
            </w: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0.2</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0.22</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0.14</w:t>
            </w: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3"/>
                <w:kern w:val="0"/>
                <w:sz w:val="28"/>
                <w:szCs w:val="28"/>
                <w:u w:val="none"/>
                <w:lang w:val="en-US" w:eastAsia="zh-CN" w:bidi="ar"/>
              </w:rPr>
              <w:t>0.293</w:t>
            </w:r>
          </w:p>
        </w:tc>
        <w:tc>
          <w:tcPr>
            <w:tcW w:w="792" w:type="dxa"/>
            <w:vAlign w:val="center"/>
          </w:tcPr>
          <w:p>
            <w:pPr>
              <w:keepNext w:val="0"/>
              <w:keepLines w:val="0"/>
              <w:widowControl/>
              <w:suppressLineNumbers w:val="0"/>
              <w:jc w:val="center"/>
              <w:textAlignment w:val="center"/>
              <w:rPr>
                <w:rFonts w:hint="eastAsia" w:ascii="仿宋_GB2312" w:hAnsi="仿宋_GB2312" w:eastAsia="仿宋_GB2312" w:cs="仿宋_GB2312"/>
                <w:spacing w:val="-23"/>
                <w:sz w:val="28"/>
                <w:szCs w:val="28"/>
                <w:vertAlign w:val="baseline"/>
                <w:lang w:val="en-US" w:eastAsia="zh-CN"/>
              </w:rPr>
            </w:pPr>
            <w:r>
              <w:rPr>
                <w:rFonts w:hint="eastAsia" w:ascii="仿宋_GB2312" w:hAnsi="仿宋_GB2312" w:eastAsia="仿宋_GB2312" w:cs="仿宋_GB2312"/>
                <w:i w:val="0"/>
                <w:iCs w:val="0"/>
                <w:color w:val="000000"/>
                <w:spacing w:val="-28"/>
                <w:kern w:val="0"/>
                <w:sz w:val="28"/>
                <w:szCs w:val="28"/>
                <w:u w:val="none"/>
                <w:lang w:val="en-US" w:eastAsia="zh-CN" w:bidi="ar"/>
              </w:rPr>
              <w:t>0.182</w:t>
            </w:r>
          </w:p>
        </w:tc>
        <w:tc>
          <w:tcPr>
            <w:tcW w:w="1122" w:type="dxa"/>
            <w:vAlign w:val="center"/>
          </w:tcPr>
          <w:p>
            <w:pPr>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工程</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kern w:val="2"/>
                <w:sz w:val="28"/>
                <w:szCs w:val="28"/>
                <w:vertAlign w:val="baseline"/>
                <w:lang w:val="en-US" w:eastAsia="zh-CN" w:bidi="ar-SA"/>
              </w:rPr>
            </w:pPr>
            <w:r>
              <w:rPr>
                <w:rFonts w:hint="eastAsia" w:ascii="黑体" w:hAnsi="黑体" w:eastAsia="黑体" w:cs="黑体"/>
                <w:i w:val="0"/>
                <w:iCs w:val="0"/>
                <w:color w:val="000000"/>
                <w:kern w:val="0"/>
                <w:sz w:val="28"/>
                <w:szCs w:val="28"/>
                <w:u w:val="none"/>
                <w:lang w:val="en-US" w:eastAsia="zh-CN" w:bidi="ar"/>
              </w:rPr>
              <w:t>名称</w:t>
            </w:r>
          </w:p>
        </w:tc>
        <w:tc>
          <w:tcPr>
            <w:tcW w:w="2790"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spacing w:val="0"/>
                <w:kern w:val="2"/>
                <w:sz w:val="28"/>
                <w:szCs w:val="24"/>
                <w:lang w:val="en-US" w:eastAsia="zh-CN" w:bidi="ar-SA"/>
              </w:rPr>
            </w:pPr>
            <w:r>
              <w:rPr>
                <w:rFonts w:hint="eastAsia" w:ascii="黑体" w:hAnsi="黑体" w:eastAsia="黑体" w:cs="黑体"/>
                <w:i w:val="0"/>
                <w:iCs w:val="0"/>
                <w:color w:val="000000"/>
                <w:kern w:val="0"/>
                <w:sz w:val="28"/>
                <w:szCs w:val="28"/>
                <w:u w:val="none"/>
                <w:lang w:val="en-US" w:eastAsia="zh-CN" w:bidi="ar"/>
              </w:rPr>
              <w:t>项目任务</w:t>
            </w:r>
          </w:p>
        </w:tc>
        <w:tc>
          <w:tcPr>
            <w:tcW w:w="1104"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责任</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黑体" w:hAnsi="黑体" w:eastAsia="黑体" w:cs="黑体"/>
                <w:i w:val="0"/>
                <w:iCs w:val="0"/>
                <w:color w:val="000000"/>
                <w:kern w:val="0"/>
                <w:sz w:val="28"/>
                <w:szCs w:val="28"/>
                <w:u w:val="none"/>
                <w:lang w:val="en-US" w:eastAsia="zh-CN" w:bidi="ar"/>
              </w:rPr>
              <w:t>处室</w:t>
            </w:r>
          </w:p>
        </w:tc>
        <w:tc>
          <w:tcPr>
            <w:tcW w:w="8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黑体" w:hAnsi="黑体" w:eastAsia="黑体" w:cs="黑体"/>
                <w:sz w:val="28"/>
                <w:szCs w:val="28"/>
                <w:vertAlign w:val="baseline"/>
                <w:lang w:val="en-US" w:eastAsia="zh-CN"/>
              </w:rPr>
              <w:t>台江</w:t>
            </w:r>
          </w:p>
        </w:tc>
        <w:tc>
          <w:tcPr>
            <w:tcW w:w="85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晋安</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马尾</w:t>
            </w:r>
          </w:p>
        </w:tc>
        <w:tc>
          <w:tcPr>
            <w:tcW w:w="8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长乐</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福清</w:t>
            </w:r>
          </w:p>
        </w:tc>
        <w:tc>
          <w:tcPr>
            <w:tcW w:w="85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闽侯</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连江</w:t>
            </w:r>
          </w:p>
        </w:tc>
        <w:tc>
          <w:tcPr>
            <w:tcW w:w="816"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闽清</w:t>
            </w:r>
          </w:p>
        </w:tc>
        <w:tc>
          <w:tcPr>
            <w:tcW w:w="8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罗源</w:t>
            </w:r>
          </w:p>
        </w:tc>
        <w:tc>
          <w:tcPr>
            <w:tcW w:w="79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永泰</w:t>
            </w: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spacing w:val="-23"/>
                <w:kern w:val="0"/>
                <w:sz w:val="28"/>
                <w:szCs w:val="28"/>
                <w:u w:val="none"/>
                <w:lang w:val="en-US" w:eastAsia="zh-CN" w:bidi="ar"/>
              </w:rPr>
            </w:pPr>
            <w:r>
              <w:rPr>
                <w:rFonts w:hint="eastAsia" w:ascii="黑体" w:hAnsi="黑体" w:eastAsia="黑体" w:cs="黑体"/>
                <w:b/>
                <w:bCs/>
                <w:i w:val="0"/>
                <w:iCs w:val="0"/>
                <w:color w:val="000000"/>
                <w:kern w:val="0"/>
                <w:sz w:val="28"/>
                <w:szCs w:val="28"/>
                <w:u w:val="none"/>
                <w:lang w:val="en-US" w:eastAsia="zh-CN" w:bidi="ar"/>
              </w:rPr>
              <w:t>高新区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116" w:type="dxa"/>
            <w:vMerge w:val="restart"/>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竹业花卉与名特优经济林工程</w:t>
            </w: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firstLine="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建设丰产竹林</w:t>
            </w:r>
            <w:r>
              <w:rPr>
                <w:rFonts w:hint="eastAsia" w:ascii="仿宋_GB2312" w:hAnsi="仿宋_GB2312" w:eastAsia="仿宋_GB2312" w:cs="仿宋_GB2312"/>
                <w:spacing w:val="0"/>
                <w:sz w:val="28"/>
                <w:lang w:val="en-US" w:eastAsia="zh-CN"/>
              </w:rPr>
              <w:t>0.72</w:t>
            </w:r>
            <w:r>
              <w:rPr>
                <w:rFonts w:hint="eastAsia" w:ascii="仿宋_GB2312" w:hAnsi="仿宋_GB2312" w:eastAsia="仿宋_GB2312" w:cs="仿宋_GB2312"/>
                <w:spacing w:val="0"/>
                <w:sz w:val="28"/>
              </w:rPr>
              <w:t>万亩。</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造林处</w:t>
            </w:r>
          </w:p>
        </w:tc>
        <w:tc>
          <w:tcPr>
            <w:tcW w:w="828" w:type="dxa"/>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rPr>
                <w:rFonts w:hint="eastAsia" w:ascii="仿宋_GB2312" w:hAnsi="仿宋_GB2312" w:eastAsia="仿宋_GB2312" w:cs="仿宋_GB2312"/>
                <w:sz w:val="28"/>
                <w:szCs w:val="28"/>
                <w:vertAlign w:val="baseline"/>
                <w:lang w:val="en-US" w:eastAsia="zh-CN"/>
              </w:rPr>
            </w:pP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0.07</w:t>
            </w:r>
          </w:p>
        </w:tc>
        <w:tc>
          <w:tcPr>
            <w:tcW w:w="816" w:type="dxa"/>
            <w:vAlign w:val="center"/>
          </w:tcPr>
          <w:p>
            <w:pPr>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0.15</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0.05</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0.15</w:t>
            </w: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0.15</w:t>
            </w: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0.15</w:t>
            </w:r>
          </w:p>
        </w:tc>
        <w:tc>
          <w:tcPr>
            <w:tcW w:w="1122" w:type="dxa"/>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116" w:type="dxa"/>
            <w:vMerge w:val="continue"/>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b/>
                <w:bCs/>
                <w:sz w:val="28"/>
                <w:szCs w:val="28"/>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建设省级花卉产业发展项目</w:t>
            </w:r>
            <w:r>
              <w:rPr>
                <w:rFonts w:hint="eastAsia" w:ascii="仿宋_GB2312" w:hAnsi="仿宋_GB2312" w:eastAsia="仿宋_GB2312" w:cs="仿宋_GB2312"/>
                <w:spacing w:val="0"/>
                <w:sz w:val="28"/>
                <w:lang w:val="en-US" w:eastAsia="zh-CN"/>
              </w:rPr>
              <w:t>2</w:t>
            </w:r>
            <w:r>
              <w:rPr>
                <w:rFonts w:hint="eastAsia" w:ascii="仿宋_GB2312" w:hAnsi="仿宋_GB2312" w:eastAsia="仿宋_GB2312" w:cs="仿宋_GB2312"/>
                <w:spacing w:val="0"/>
                <w:sz w:val="28"/>
              </w:rPr>
              <w:t>个。</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种苗站</w:t>
            </w:r>
          </w:p>
        </w:tc>
        <w:tc>
          <w:tcPr>
            <w:tcW w:w="828" w:type="dxa"/>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122" w:type="dxa"/>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116" w:type="dxa"/>
            <w:vMerge w:val="continue"/>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b/>
                <w:bCs/>
                <w:sz w:val="28"/>
                <w:szCs w:val="28"/>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建设油茶基地</w:t>
            </w:r>
            <w:r>
              <w:rPr>
                <w:rFonts w:hint="eastAsia" w:ascii="仿宋_GB2312" w:hAnsi="仿宋_GB2312" w:eastAsia="仿宋_GB2312" w:cs="仿宋_GB2312"/>
                <w:spacing w:val="0"/>
                <w:sz w:val="28"/>
                <w:lang w:val="en-US" w:eastAsia="zh-CN"/>
              </w:rPr>
              <w:t>3.18</w:t>
            </w:r>
            <w:r>
              <w:rPr>
                <w:rFonts w:hint="eastAsia" w:ascii="仿宋_GB2312" w:hAnsi="仿宋_GB2312" w:eastAsia="仿宋_GB2312" w:cs="仿宋_GB2312"/>
                <w:spacing w:val="0"/>
                <w:sz w:val="28"/>
              </w:rPr>
              <w:t>万亩（含改造）。</w:t>
            </w:r>
          </w:p>
        </w:tc>
        <w:tc>
          <w:tcPr>
            <w:tcW w:w="1104"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造林处</w:t>
            </w:r>
          </w:p>
        </w:tc>
        <w:tc>
          <w:tcPr>
            <w:tcW w:w="828" w:type="dxa"/>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rPr>
                <w:rFonts w:hint="eastAsia" w:ascii="仿宋_GB2312" w:hAnsi="仿宋_GB2312" w:eastAsia="仿宋_GB2312" w:cs="仿宋_GB2312"/>
                <w:sz w:val="28"/>
                <w:szCs w:val="28"/>
                <w:vertAlign w:val="baseline"/>
                <w:lang w:val="en-US" w:eastAsia="zh-CN"/>
              </w:rPr>
            </w:pP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0.02</w:t>
            </w:r>
          </w:p>
        </w:tc>
        <w:tc>
          <w:tcPr>
            <w:tcW w:w="816" w:type="dxa"/>
            <w:vAlign w:val="center"/>
          </w:tcPr>
          <w:p>
            <w:pPr>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0.02</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0.06</w:t>
            </w:r>
          </w:p>
        </w:tc>
        <w:tc>
          <w:tcPr>
            <w:tcW w:w="85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0.36</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0.23</w:t>
            </w:r>
          </w:p>
        </w:tc>
        <w:tc>
          <w:tcPr>
            <w:tcW w:w="816"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0.7</w:t>
            </w:r>
          </w:p>
        </w:tc>
        <w:tc>
          <w:tcPr>
            <w:tcW w:w="828"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0.19</w:t>
            </w: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1.6</w:t>
            </w:r>
          </w:p>
        </w:tc>
        <w:tc>
          <w:tcPr>
            <w:tcW w:w="1122" w:type="dxa"/>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116" w:type="dxa"/>
            <w:vMerge w:val="restart"/>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林产工业工程</w:t>
            </w: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新培育1个省级以上品牌。</w:t>
            </w:r>
          </w:p>
        </w:tc>
        <w:tc>
          <w:tcPr>
            <w:tcW w:w="1104" w:type="dxa"/>
            <w:vMerge w:val="restart"/>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林业改革与发展处</w:t>
            </w:r>
          </w:p>
        </w:tc>
        <w:tc>
          <w:tcPr>
            <w:tcW w:w="9366" w:type="dxa"/>
            <w:gridSpan w:val="11"/>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1116" w:type="dxa"/>
            <w:vMerge w:val="continue"/>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b/>
                <w:bCs/>
                <w:sz w:val="28"/>
                <w:szCs w:val="28"/>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省级以上林业重点龙头企业</w:t>
            </w:r>
            <w:r>
              <w:rPr>
                <w:rFonts w:hint="eastAsia" w:ascii="仿宋_GB2312" w:hAnsi="仿宋_GB2312" w:eastAsia="仿宋_GB2312" w:cs="仿宋_GB2312"/>
                <w:spacing w:val="0"/>
                <w:sz w:val="28"/>
                <w:lang w:val="en-US" w:eastAsia="zh-CN"/>
              </w:rPr>
              <w:t>11</w:t>
            </w:r>
            <w:r>
              <w:rPr>
                <w:rFonts w:hint="eastAsia" w:ascii="仿宋_GB2312" w:hAnsi="仿宋_GB2312" w:eastAsia="仿宋_GB2312" w:cs="仿宋_GB2312"/>
                <w:spacing w:val="0"/>
                <w:sz w:val="28"/>
              </w:rPr>
              <w:t>家。</w:t>
            </w:r>
          </w:p>
        </w:tc>
        <w:tc>
          <w:tcPr>
            <w:tcW w:w="1104" w:type="dxa"/>
            <w:vMerge w:val="continue"/>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1116" w:type="dxa"/>
            <w:vMerge w:val="restart"/>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森林旅游工程</w:t>
            </w: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评定省级森林养生城市</w:t>
            </w:r>
            <w:r>
              <w:rPr>
                <w:rFonts w:hint="eastAsia" w:ascii="仿宋_GB2312" w:hAnsi="仿宋_GB2312" w:eastAsia="仿宋_GB2312" w:cs="仿宋_GB2312"/>
                <w:spacing w:val="0"/>
                <w:sz w:val="28"/>
                <w:lang w:val="en-US" w:eastAsia="zh-CN"/>
              </w:rPr>
              <w:t>1</w:t>
            </w:r>
            <w:r>
              <w:rPr>
                <w:rFonts w:hint="eastAsia" w:ascii="仿宋_GB2312" w:hAnsi="仿宋_GB2312" w:eastAsia="仿宋_GB2312" w:cs="仿宋_GB2312"/>
                <w:spacing w:val="0"/>
                <w:sz w:val="28"/>
              </w:rPr>
              <w:t>个。</w:t>
            </w:r>
          </w:p>
        </w:tc>
        <w:tc>
          <w:tcPr>
            <w:tcW w:w="1104" w:type="dxa"/>
            <w:vMerge w:val="restart"/>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林场处</w:t>
            </w: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1116" w:type="dxa"/>
            <w:vMerge w:val="continue"/>
          </w:tcPr>
          <w:p>
            <w:pPr>
              <w:pStyle w:val="2"/>
              <w:keepNext w:val="0"/>
              <w:keepLines w:val="0"/>
              <w:pageBreakBefore w:val="0"/>
              <w:kinsoku/>
              <w:wordWrap/>
              <w:overflowPunct/>
              <w:topLinePunct w:val="0"/>
              <w:autoSpaceDE/>
              <w:autoSpaceDN/>
              <w:bidi w:val="0"/>
              <w:adjustRightInd/>
              <w:snapToGrid/>
              <w:spacing w:after="0"/>
              <w:ind w:firstLine="0" w:firstLineChars="0"/>
              <w:rPr>
                <w:rFonts w:hint="eastAsia" w:ascii="宋体" w:hAnsi="宋体" w:eastAsia="宋体" w:cs="宋体"/>
                <w:sz w:val="22"/>
                <w:szCs w:val="22"/>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评定省级森林康养小镇</w:t>
            </w:r>
            <w:r>
              <w:rPr>
                <w:rFonts w:hint="eastAsia" w:ascii="仿宋_GB2312" w:hAnsi="仿宋_GB2312" w:eastAsia="仿宋_GB2312" w:cs="仿宋_GB2312"/>
                <w:spacing w:val="0"/>
                <w:sz w:val="28"/>
                <w:lang w:val="en-US" w:eastAsia="zh-CN"/>
              </w:rPr>
              <w:t>1</w:t>
            </w:r>
            <w:r>
              <w:rPr>
                <w:rFonts w:hint="eastAsia" w:ascii="仿宋_GB2312" w:hAnsi="仿宋_GB2312" w:eastAsia="仿宋_GB2312" w:cs="仿宋_GB2312"/>
                <w:spacing w:val="0"/>
                <w:sz w:val="28"/>
              </w:rPr>
              <w:t>个。</w:t>
            </w:r>
          </w:p>
        </w:tc>
        <w:tc>
          <w:tcPr>
            <w:tcW w:w="1104" w:type="dxa"/>
            <w:vMerge w:val="continue"/>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1116" w:type="dxa"/>
            <w:vMerge w:val="continue"/>
          </w:tcPr>
          <w:p>
            <w:pPr>
              <w:pStyle w:val="2"/>
              <w:keepNext w:val="0"/>
              <w:keepLines w:val="0"/>
              <w:pageBreakBefore w:val="0"/>
              <w:kinsoku/>
              <w:wordWrap/>
              <w:overflowPunct/>
              <w:topLinePunct w:val="0"/>
              <w:autoSpaceDE/>
              <w:autoSpaceDN/>
              <w:bidi w:val="0"/>
              <w:adjustRightInd/>
              <w:snapToGrid/>
              <w:spacing w:after="0"/>
              <w:ind w:firstLine="0" w:firstLineChars="0"/>
              <w:rPr>
                <w:rFonts w:hint="eastAsia" w:ascii="宋体" w:hAnsi="宋体" w:eastAsia="宋体" w:cs="宋体"/>
                <w:sz w:val="22"/>
                <w:szCs w:val="22"/>
                <w:vertAlign w:val="baseline"/>
                <w:lang w:val="en-US" w:eastAsia="zh-CN"/>
              </w:rPr>
            </w:pPr>
          </w:p>
        </w:tc>
        <w:tc>
          <w:tcPr>
            <w:tcW w:w="2790" w:type="dxa"/>
            <w:vAlign w:val="center"/>
          </w:tcPr>
          <w:p>
            <w:pPr>
              <w:pStyle w:val="20"/>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rPr>
              <w:t>评定省级以上森林康养基地</w:t>
            </w:r>
            <w:r>
              <w:rPr>
                <w:rFonts w:hint="eastAsia" w:ascii="仿宋_GB2312" w:hAnsi="仿宋_GB2312" w:eastAsia="仿宋_GB2312" w:cs="仿宋_GB2312"/>
                <w:spacing w:val="0"/>
                <w:sz w:val="28"/>
                <w:lang w:val="en-US" w:eastAsia="zh-CN"/>
              </w:rPr>
              <w:t>2</w:t>
            </w:r>
            <w:r>
              <w:rPr>
                <w:rFonts w:hint="eastAsia" w:ascii="仿宋_GB2312" w:hAnsi="仿宋_GB2312" w:eastAsia="仿宋_GB2312" w:cs="仿宋_GB2312"/>
                <w:spacing w:val="0"/>
                <w:sz w:val="28"/>
              </w:rPr>
              <w:t>个。</w:t>
            </w:r>
          </w:p>
        </w:tc>
        <w:tc>
          <w:tcPr>
            <w:tcW w:w="1104" w:type="dxa"/>
            <w:vMerge w:val="continue"/>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5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16"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828"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c>
          <w:tcPr>
            <w:tcW w:w="79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122" w:type="dxa"/>
            <w:vAlign w:val="center"/>
          </w:tcPr>
          <w:p>
            <w:pPr>
              <w:pStyle w:val="2"/>
              <w:keepNext w:val="0"/>
              <w:keepLines w:val="0"/>
              <w:pageBreakBefore w:val="0"/>
              <w:kinsoku/>
              <w:wordWrap/>
              <w:overflowPunct/>
              <w:topLinePunct w:val="0"/>
              <w:autoSpaceDE/>
              <w:autoSpaceDN/>
              <w:bidi w:val="0"/>
              <w:adjustRightInd/>
              <w:snapToGrid/>
              <w:spacing w:after="0" w:line="400" w:lineRule="exact"/>
              <w:ind w:firstLine="0" w:firstLineChars="0"/>
              <w:jc w:val="center"/>
              <w:rPr>
                <w:rFonts w:hint="eastAsia" w:ascii="仿宋_GB2312" w:hAnsi="仿宋_GB2312" w:eastAsia="仿宋_GB2312" w:cs="仿宋_GB2312"/>
                <w:sz w:val="28"/>
                <w:szCs w:val="28"/>
                <w:vertAlign w:val="baseline"/>
                <w:lang w:val="en-US" w:eastAsia="zh-CN"/>
              </w:rPr>
            </w:pPr>
          </w:p>
        </w:tc>
      </w:tr>
    </w:tbl>
    <w:p>
      <w:pPr>
        <w:pStyle w:val="2"/>
        <w:rPr>
          <w:rFonts w:hint="eastAsia"/>
          <w:lang w:val="en-US" w:eastAsia="zh-CN"/>
        </w:rPr>
        <w:sectPr>
          <w:pgSz w:w="16838" w:h="11906" w:orient="landscape"/>
          <w:pgMar w:top="1134" w:right="1134" w:bottom="1134" w:left="1134" w:header="851" w:footer="992" w:gutter="0"/>
          <w:pgNumType w:fmt="decimal"/>
          <w:cols w:space="720" w:num="1"/>
          <w:docGrid w:type="lines" w:linePitch="312" w:charSpace="0"/>
        </w:sect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firstLineChars="0"/>
        <w:textAlignment w:val="auto"/>
        <w:outlineLvl w:val="9"/>
        <w:rPr>
          <w:rFonts w:hint="eastAsia" w:ascii="仿宋" w:hAnsi="仿宋" w:eastAsia="仿宋" w:cs="仿宋"/>
          <w:sz w:val="32"/>
          <w:szCs w:val="32"/>
          <w:lang w:val="en-US" w:eastAsia="zh-CN"/>
        </w:rPr>
      </w:pPr>
      <w:r>
        <w:rPr>
          <w:rFonts w:hint="eastAsia" w:ascii="仿宋_GB2312" w:hAnsi="仿宋_GB2312" w:eastAsia="仿宋_GB2312" w:cs="仿宋_GB2312"/>
          <w:sz w:val="28"/>
          <w:szCs w:val="28"/>
        </w:rPr>
        <mc:AlternateContent>
          <mc:Choice Requires="wps">
            <w:drawing>
              <wp:anchor distT="0" distB="0" distL="114300" distR="114300" simplePos="0" relativeHeight="251662336" behindDoc="0" locked="0" layoutInCell="1" allowOverlap="1">
                <wp:simplePos x="0" y="0"/>
                <wp:positionH relativeFrom="column">
                  <wp:posOffset>-54610</wp:posOffset>
                </wp:positionH>
                <wp:positionV relativeFrom="paragraph">
                  <wp:posOffset>344805</wp:posOffset>
                </wp:positionV>
                <wp:extent cx="5662930" cy="19685"/>
                <wp:effectExtent l="0" t="4445" r="6350" b="6350"/>
                <wp:wrapNone/>
                <wp:docPr id="3" name="直接连接符 3"/>
                <wp:cNvGraphicFramePr/>
                <a:graphic xmlns:a="http://schemas.openxmlformats.org/drawingml/2006/main">
                  <a:graphicData uri="http://schemas.microsoft.com/office/word/2010/wordprocessingShape">
                    <wps:wsp>
                      <wps:cNvCnPr/>
                      <wps:spPr>
                        <a:xfrm>
                          <a:off x="0" y="0"/>
                          <a:ext cx="5662930" cy="1968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3pt;margin-top:27.15pt;height:1.55pt;width:445.9pt;z-index:251662336;mso-width-relative:page;mso-height-relative:page;" filled="f" stroked="t" coordsize="21600,21600" o:gfxdata="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WnpPtcAAAAIAQAADwAAAAAAAAABACAAAAAiAAAAZHJzL2Rvd25yZXYu&#10;eG1sUEsBAhQAFAAAAAgAh07iQHwochP8AQAA9gMAAA4AAAAAAAAAAQAgAAAAJgEAAGRycy9lMm9E&#10;b2MueG1sUEsFBgAAAAAGAAYAWQEAAJQFAAAAAA==&#10;">
                <v:path arrowok="t"/>
                <v:fill on="f" focussize="0,0"/>
                <v:stroke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outlineLvl w:val="9"/>
        <w:rPr>
          <w:rFonts w:hint="eastAsia" w:ascii="仿宋" w:hAnsi="仿宋" w:eastAsia="仿宋" w:cs="仿宋"/>
          <w:sz w:val="30"/>
          <w:szCs w:val="30"/>
          <w:lang w:val="en-US" w:eastAsia="zh-CN"/>
        </w:rPr>
      </w:pPr>
      <w:r>
        <w:rPr>
          <w:rFonts w:hint="eastAsia" w:ascii="仿宋" w:hAnsi="仿宋" w:eastAsia="仿宋" w:cs="仿宋"/>
          <w:sz w:val="30"/>
          <w:szCs w:val="30"/>
        </w:rPr>
        <mc:AlternateContent>
          <mc:Choice Requires="wps">
            <w:drawing>
              <wp:anchor distT="0" distB="0" distL="114300" distR="114300" simplePos="0" relativeHeight="251661312" behindDoc="0" locked="0" layoutInCell="1" allowOverlap="1">
                <wp:simplePos x="0" y="0"/>
                <wp:positionH relativeFrom="column">
                  <wp:posOffset>-53975</wp:posOffset>
                </wp:positionH>
                <wp:positionV relativeFrom="paragraph">
                  <wp:posOffset>336550</wp:posOffset>
                </wp:positionV>
                <wp:extent cx="5662930" cy="19685"/>
                <wp:effectExtent l="0" t="4445" r="6350" b="6350"/>
                <wp:wrapNone/>
                <wp:docPr id="4" name="直接连接符 4"/>
                <wp:cNvGraphicFramePr/>
                <a:graphic xmlns:a="http://schemas.openxmlformats.org/drawingml/2006/main">
                  <a:graphicData uri="http://schemas.microsoft.com/office/word/2010/wordprocessingShape">
                    <wps:wsp>
                      <wps:cNvCnPr/>
                      <wps:spPr>
                        <a:xfrm>
                          <a:off x="0" y="0"/>
                          <a:ext cx="5662930" cy="1968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25pt;margin-top:26.5pt;height:1.55pt;width:445.9pt;z-index:251661312;mso-width-relative:page;mso-height-relative:page;" filled="f" stroked="t" coordsize="21600,21600" o:gfxdata="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54iJdcAAAAIAQAADwAAAAAAAAABACAAAAAiAAAAZHJzL2Rvd25yZXYu&#10;eG1sUEsBAhQAFAAAAAgAh07iQDOzGGb8AQAA9gMAAA4AAAAAAAAAAQAgAAAAJgEAAGRycy9lMm9E&#10;b2MueG1sUEsFBgAAAAAGAAYAWQEAAJQFAAAAAA==&#10;">
                <v:path arrowok="t"/>
                <v:fill on="f" focussize="0,0"/>
                <v:stroke joinstyle="round"/>
                <v:imagedata o:title=""/>
                <o:lock v:ext="edit" aspectratio="f"/>
              </v:line>
            </w:pict>
          </mc:Fallback>
        </mc:AlternateContent>
      </w:r>
      <w:r>
        <w:rPr>
          <w:rFonts w:hint="eastAsia" w:ascii="仿宋_GB2312" w:hAnsi="仿宋_GB2312" w:eastAsia="仿宋_GB2312" w:cs="仿宋_GB2312"/>
          <w:sz w:val="28"/>
          <w:szCs w:val="28"/>
          <w:lang w:val="en-US" w:eastAsia="zh-CN"/>
        </w:rPr>
        <w:t>福州市林业局办公室                      2024年3月15日印发</w:t>
      </w:r>
    </w:p>
    <w:sectPr>
      <w:footerReference r:id="rId4" w:type="default"/>
      <w:pgSz w:w="11906" w:h="16838"/>
      <w:pgMar w:top="1814" w:right="1587" w:bottom="1814" w:left="158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- 3 -</w:t>
                          </w:r>
                          <w:r>
                            <w:rPr>
                              <w:rFonts w:hint="eastAsia" w:asciiTheme="majorEastAsia" w:hAnsiTheme="majorEastAsia" w:eastAsiaTheme="majorEastAsia" w:cstheme="maj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- 3 -</w:t>
                    </w:r>
                    <w:r>
                      <w:rPr>
                        <w:rFonts w:hint="eastAsia" w:asciiTheme="majorEastAsia" w:hAnsiTheme="majorEastAsia" w:eastAsiaTheme="majorEastAsia" w:cstheme="majorEastAsia"/>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5"/>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NTUwZjZlOGU5MTlkMTJlZDBiMjUzZDdhZDNjMzEifQ=="/>
  </w:docVars>
  <w:rsids>
    <w:rsidRoot w:val="6B101EDF"/>
    <w:rsid w:val="00490B57"/>
    <w:rsid w:val="00681D29"/>
    <w:rsid w:val="01527EDF"/>
    <w:rsid w:val="016546C3"/>
    <w:rsid w:val="02112688"/>
    <w:rsid w:val="031E62CB"/>
    <w:rsid w:val="04335F81"/>
    <w:rsid w:val="04F1038F"/>
    <w:rsid w:val="04F74288"/>
    <w:rsid w:val="04FA728A"/>
    <w:rsid w:val="055A55B4"/>
    <w:rsid w:val="06183E81"/>
    <w:rsid w:val="068648B3"/>
    <w:rsid w:val="06B47663"/>
    <w:rsid w:val="074A192C"/>
    <w:rsid w:val="079B438E"/>
    <w:rsid w:val="08452042"/>
    <w:rsid w:val="09491BC8"/>
    <w:rsid w:val="09704CAB"/>
    <w:rsid w:val="097C01EF"/>
    <w:rsid w:val="09D50A04"/>
    <w:rsid w:val="09E61357"/>
    <w:rsid w:val="0A022A26"/>
    <w:rsid w:val="0A492C51"/>
    <w:rsid w:val="0A5E32B6"/>
    <w:rsid w:val="0A904F81"/>
    <w:rsid w:val="0A9F23E7"/>
    <w:rsid w:val="0AB111D5"/>
    <w:rsid w:val="0AB875A2"/>
    <w:rsid w:val="0B867103"/>
    <w:rsid w:val="0C376661"/>
    <w:rsid w:val="0CD27A5D"/>
    <w:rsid w:val="0CED5ABC"/>
    <w:rsid w:val="0CF641DF"/>
    <w:rsid w:val="0DC377F8"/>
    <w:rsid w:val="0E67321C"/>
    <w:rsid w:val="0E68292A"/>
    <w:rsid w:val="0E9A07D0"/>
    <w:rsid w:val="0EE20AF5"/>
    <w:rsid w:val="0F23608D"/>
    <w:rsid w:val="0F357655"/>
    <w:rsid w:val="10496E87"/>
    <w:rsid w:val="109776BD"/>
    <w:rsid w:val="109951E3"/>
    <w:rsid w:val="11A44B29"/>
    <w:rsid w:val="127F7C09"/>
    <w:rsid w:val="12EA3745"/>
    <w:rsid w:val="13201BEB"/>
    <w:rsid w:val="14A66120"/>
    <w:rsid w:val="14FB46BE"/>
    <w:rsid w:val="15AE1730"/>
    <w:rsid w:val="15D1389D"/>
    <w:rsid w:val="16382BDB"/>
    <w:rsid w:val="168E50BE"/>
    <w:rsid w:val="17122173"/>
    <w:rsid w:val="171A6559"/>
    <w:rsid w:val="17614581"/>
    <w:rsid w:val="179C77A7"/>
    <w:rsid w:val="17BE3647"/>
    <w:rsid w:val="180805A1"/>
    <w:rsid w:val="18D56FD4"/>
    <w:rsid w:val="190F5E18"/>
    <w:rsid w:val="191158E7"/>
    <w:rsid w:val="1A2C7D60"/>
    <w:rsid w:val="1A64093C"/>
    <w:rsid w:val="1A9C1C7A"/>
    <w:rsid w:val="1B135F43"/>
    <w:rsid w:val="1B1D7AAC"/>
    <w:rsid w:val="1B2A5291"/>
    <w:rsid w:val="1B811F57"/>
    <w:rsid w:val="1BBC5137"/>
    <w:rsid w:val="1BEF7425"/>
    <w:rsid w:val="1C9001BA"/>
    <w:rsid w:val="1CDD3FA5"/>
    <w:rsid w:val="1D4A0FB3"/>
    <w:rsid w:val="1D665470"/>
    <w:rsid w:val="1E2C2F52"/>
    <w:rsid w:val="1EA64B96"/>
    <w:rsid w:val="1EAF2075"/>
    <w:rsid w:val="1F443106"/>
    <w:rsid w:val="1F5F1CED"/>
    <w:rsid w:val="1FCA14C4"/>
    <w:rsid w:val="1FD20D66"/>
    <w:rsid w:val="21796EF0"/>
    <w:rsid w:val="21B55BF5"/>
    <w:rsid w:val="21D2735F"/>
    <w:rsid w:val="21DA05DD"/>
    <w:rsid w:val="22480344"/>
    <w:rsid w:val="2308241C"/>
    <w:rsid w:val="23196728"/>
    <w:rsid w:val="237B33D0"/>
    <w:rsid w:val="23F925D1"/>
    <w:rsid w:val="24CC7260"/>
    <w:rsid w:val="253B0B07"/>
    <w:rsid w:val="25687D1B"/>
    <w:rsid w:val="257E71AE"/>
    <w:rsid w:val="25B97273"/>
    <w:rsid w:val="25E74431"/>
    <w:rsid w:val="260B694D"/>
    <w:rsid w:val="2672576F"/>
    <w:rsid w:val="26DD7D7A"/>
    <w:rsid w:val="27002553"/>
    <w:rsid w:val="278247CB"/>
    <w:rsid w:val="27D0154B"/>
    <w:rsid w:val="27E045A3"/>
    <w:rsid w:val="2848442E"/>
    <w:rsid w:val="28504100"/>
    <w:rsid w:val="287F6007"/>
    <w:rsid w:val="28913477"/>
    <w:rsid w:val="28D9041B"/>
    <w:rsid w:val="28FC4B17"/>
    <w:rsid w:val="29F86E3B"/>
    <w:rsid w:val="2A9B2786"/>
    <w:rsid w:val="2AD64A16"/>
    <w:rsid w:val="2B6D001A"/>
    <w:rsid w:val="2B830A7D"/>
    <w:rsid w:val="2B8A00F2"/>
    <w:rsid w:val="2CBD616B"/>
    <w:rsid w:val="2CD418C9"/>
    <w:rsid w:val="2D132656"/>
    <w:rsid w:val="2DE80ADC"/>
    <w:rsid w:val="2E7C488A"/>
    <w:rsid w:val="2E945FAA"/>
    <w:rsid w:val="2F8035A3"/>
    <w:rsid w:val="2F835584"/>
    <w:rsid w:val="2FF66F13"/>
    <w:rsid w:val="30211C8F"/>
    <w:rsid w:val="31537BDA"/>
    <w:rsid w:val="321C710E"/>
    <w:rsid w:val="32BA750F"/>
    <w:rsid w:val="33D70B4D"/>
    <w:rsid w:val="340271E2"/>
    <w:rsid w:val="34A73AC3"/>
    <w:rsid w:val="35B4016E"/>
    <w:rsid w:val="35DA6C62"/>
    <w:rsid w:val="36010294"/>
    <w:rsid w:val="36820344"/>
    <w:rsid w:val="369C0C40"/>
    <w:rsid w:val="36F62BA2"/>
    <w:rsid w:val="373A65D3"/>
    <w:rsid w:val="37561D67"/>
    <w:rsid w:val="37B21F88"/>
    <w:rsid w:val="37E61F65"/>
    <w:rsid w:val="38D01E5A"/>
    <w:rsid w:val="3A3A73E5"/>
    <w:rsid w:val="3A5B0901"/>
    <w:rsid w:val="3B031174"/>
    <w:rsid w:val="3B17578D"/>
    <w:rsid w:val="3CA07775"/>
    <w:rsid w:val="3CCB5E8E"/>
    <w:rsid w:val="3CF96A73"/>
    <w:rsid w:val="3D4D4959"/>
    <w:rsid w:val="3D956BAE"/>
    <w:rsid w:val="3DAF4724"/>
    <w:rsid w:val="3DCE368A"/>
    <w:rsid w:val="3EDB4B0E"/>
    <w:rsid w:val="3FF32353"/>
    <w:rsid w:val="3FF4774F"/>
    <w:rsid w:val="3FFB3F45"/>
    <w:rsid w:val="40A9471F"/>
    <w:rsid w:val="40DF651C"/>
    <w:rsid w:val="41A10B98"/>
    <w:rsid w:val="42EE4A05"/>
    <w:rsid w:val="438D4685"/>
    <w:rsid w:val="43FD725B"/>
    <w:rsid w:val="44B71854"/>
    <w:rsid w:val="45140D01"/>
    <w:rsid w:val="4521341D"/>
    <w:rsid w:val="45667CE4"/>
    <w:rsid w:val="45726E82"/>
    <w:rsid w:val="466434E8"/>
    <w:rsid w:val="46B84C38"/>
    <w:rsid w:val="46E91FD5"/>
    <w:rsid w:val="47E845D3"/>
    <w:rsid w:val="48672E5C"/>
    <w:rsid w:val="48EC1C8B"/>
    <w:rsid w:val="49225D7B"/>
    <w:rsid w:val="496F29A9"/>
    <w:rsid w:val="4A9C0916"/>
    <w:rsid w:val="4B026C97"/>
    <w:rsid w:val="4B5853BB"/>
    <w:rsid w:val="4BB15100"/>
    <w:rsid w:val="4D8E7176"/>
    <w:rsid w:val="4E0C3B36"/>
    <w:rsid w:val="4E15468C"/>
    <w:rsid w:val="4E741C8C"/>
    <w:rsid w:val="4EFD2805"/>
    <w:rsid w:val="5072484E"/>
    <w:rsid w:val="515312A9"/>
    <w:rsid w:val="51F6742E"/>
    <w:rsid w:val="52404E47"/>
    <w:rsid w:val="53054F08"/>
    <w:rsid w:val="53243FAF"/>
    <w:rsid w:val="54273E81"/>
    <w:rsid w:val="54AC4A7E"/>
    <w:rsid w:val="55041A25"/>
    <w:rsid w:val="55833339"/>
    <w:rsid w:val="55B63C50"/>
    <w:rsid w:val="569D55BA"/>
    <w:rsid w:val="56D93B58"/>
    <w:rsid w:val="56F049FE"/>
    <w:rsid w:val="573C5E95"/>
    <w:rsid w:val="57B17502"/>
    <w:rsid w:val="57BD41B9"/>
    <w:rsid w:val="57F72926"/>
    <w:rsid w:val="58BF754A"/>
    <w:rsid w:val="59A16F64"/>
    <w:rsid w:val="5A6672F0"/>
    <w:rsid w:val="5B7D18CD"/>
    <w:rsid w:val="5BF95EC6"/>
    <w:rsid w:val="5C093A85"/>
    <w:rsid w:val="5C5151B9"/>
    <w:rsid w:val="5CB51DB5"/>
    <w:rsid w:val="5CD947F8"/>
    <w:rsid w:val="5D63627C"/>
    <w:rsid w:val="5D744B72"/>
    <w:rsid w:val="5DC0337C"/>
    <w:rsid w:val="5E622B9F"/>
    <w:rsid w:val="5E982EF6"/>
    <w:rsid w:val="5EEB77A0"/>
    <w:rsid w:val="5EF62DCD"/>
    <w:rsid w:val="5FB33808"/>
    <w:rsid w:val="602C6AB8"/>
    <w:rsid w:val="602E41A2"/>
    <w:rsid w:val="602F2A3B"/>
    <w:rsid w:val="604E594E"/>
    <w:rsid w:val="61226811"/>
    <w:rsid w:val="62077221"/>
    <w:rsid w:val="621D5049"/>
    <w:rsid w:val="62256F6E"/>
    <w:rsid w:val="62324356"/>
    <w:rsid w:val="625741F1"/>
    <w:rsid w:val="62BB2BED"/>
    <w:rsid w:val="62F01933"/>
    <w:rsid w:val="640665BD"/>
    <w:rsid w:val="644C6B2F"/>
    <w:rsid w:val="6492215A"/>
    <w:rsid w:val="64CF7539"/>
    <w:rsid w:val="65103FC5"/>
    <w:rsid w:val="65D5373C"/>
    <w:rsid w:val="661B4F60"/>
    <w:rsid w:val="66787FFD"/>
    <w:rsid w:val="66815BCB"/>
    <w:rsid w:val="67FB14D3"/>
    <w:rsid w:val="68F92434"/>
    <w:rsid w:val="69411595"/>
    <w:rsid w:val="6A862732"/>
    <w:rsid w:val="6B101EDF"/>
    <w:rsid w:val="6B5A639E"/>
    <w:rsid w:val="6B6D3816"/>
    <w:rsid w:val="6C081906"/>
    <w:rsid w:val="6D0D7318"/>
    <w:rsid w:val="6D6921C4"/>
    <w:rsid w:val="6D824635"/>
    <w:rsid w:val="6DB03469"/>
    <w:rsid w:val="6E3A2CD6"/>
    <w:rsid w:val="6E7A6AE6"/>
    <w:rsid w:val="6EE34696"/>
    <w:rsid w:val="6EE57397"/>
    <w:rsid w:val="6EEA42E8"/>
    <w:rsid w:val="6F020AFA"/>
    <w:rsid w:val="6F914437"/>
    <w:rsid w:val="70161521"/>
    <w:rsid w:val="702A0E49"/>
    <w:rsid w:val="702F3D79"/>
    <w:rsid w:val="70443D26"/>
    <w:rsid w:val="704E2A69"/>
    <w:rsid w:val="70530C31"/>
    <w:rsid w:val="70E077BD"/>
    <w:rsid w:val="715A378E"/>
    <w:rsid w:val="719238E2"/>
    <w:rsid w:val="71C46D10"/>
    <w:rsid w:val="71FE04BF"/>
    <w:rsid w:val="72575680"/>
    <w:rsid w:val="729A01E8"/>
    <w:rsid w:val="72AA7CFF"/>
    <w:rsid w:val="72B07017"/>
    <w:rsid w:val="72D05A05"/>
    <w:rsid w:val="73426F63"/>
    <w:rsid w:val="742567BC"/>
    <w:rsid w:val="743E7EC1"/>
    <w:rsid w:val="74643E32"/>
    <w:rsid w:val="74654825"/>
    <w:rsid w:val="74EA492E"/>
    <w:rsid w:val="75D365C4"/>
    <w:rsid w:val="75DE3B39"/>
    <w:rsid w:val="75E54B5D"/>
    <w:rsid w:val="75EC416F"/>
    <w:rsid w:val="769A0A1C"/>
    <w:rsid w:val="777E10B7"/>
    <w:rsid w:val="77906F27"/>
    <w:rsid w:val="77E3618D"/>
    <w:rsid w:val="77F604CF"/>
    <w:rsid w:val="786C6A69"/>
    <w:rsid w:val="789423B5"/>
    <w:rsid w:val="78987D45"/>
    <w:rsid w:val="78F92119"/>
    <w:rsid w:val="79FE105C"/>
    <w:rsid w:val="7A44314A"/>
    <w:rsid w:val="7B015EA5"/>
    <w:rsid w:val="7B6B1B79"/>
    <w:rsid w:val="7D1C2523"/>
    <w:rsid w:val="7E0E71DE"/>
    <w:rsid w:val="7E2F3B75"/>
    <w:rsid w:val="7EA1554F"/>
    <w:rsid w:val="7EC54B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autoRedefine/>
    <w:semiHidden/>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next w:val="3"/>
    <w:autoRedefine/>
    <w:qFormat/>
    <w:uiPriority w:val="0"/>
    <w:pPr>
      <w:ind w:firstLine="420" w:firstLineChars="100"/>
    </w:pPr>
    <w:rPr>
      <w:kern w:val="0"/>
      <w:sz w:val="20"/>
      <w:szCs w:val="20"/>
    </w:rPr>
  </w:style>
  <w:style w:type="paragraph" w:styleId="3">
    <w:name w:val="Body Text"/>
    <w:basedOn w:val="1"/>
    <w:next w:val="2"/>
    <w:autoRedefine/>
    <w:qFormat/>
    <w:uiPriority w:val="0"/>
    <w:pPr>
      <w:spacing w:after="120"/>
    </w:pPr>
  </w:style>
  <w:style w:type="paragraph" w:styleId="4">
    <w:name w:val="Body Text Indent"/>
    <w:basedOn w:val="1"/>
    <w:autoRedefine/>
    <w:qFormat/>
    <w:uiPriority w:val="0"/>
    <w:pPr>
      <w:spacing w:after="120"/>
      <w:ind w:left="420" w:leftChars="200"/>
    </w:p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8">
    <w:name w:val="Body Text First Indent 2"/>
    <w:basedOn w:val="4"/>
    <w:autoRedefine/>
    <w:qFormat/>
    <w:uiPriority w:val="0"/>
    <w:pPr>
      <w:spacing w:before="100" w:beforeAutospacing="1"/>
      <w:ind w:firstLine="420" w:firstLineChars="200"/>
    </w:p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autoRedefine/>
    <w:qFormat/>
    <w:uiPriority w:val="0"/>
    <w:rPr>
      <w:color w:val="333333"/>
      <w:u w:val="none"/>
    </w:rPr>
  </w:style>
  <w:style w:type="character" w:styleId="13">
    <w:name w:val="Emphasis"/>
    <w:basedOn w:val="11"/>
    <w:autoRedefine/>
    <w:qFormat/>
    <w:uiPriority w:val="0"/>
    <w:rPr>
      <w:color w:val="B82626"/>
    </w:rPr>
  </w:style>
  <w:style w:type="character" w:styleId="14">
    <w:name w:val="Hyperlink"/>
    <w:basedOn w:val="11"/>
    <w:autoRedefine/>
    <w:qFormat/>
    <w:uiPriority w:val="0"/>
    <w:rPr>
      <w:color w:val="333333"/>
      <w:u w:val="none"/>
    </w:rPr>
  </w:style>
  <w:style w:type="character" w:customStyle="1" w:styleId="15">
    <w:name w:val="gl_news_sz"/>
    <w:basedOn w:val="11"/>
    <w:autoRedefine/>
    <w:qFormat/>
    <w:uiPriority w:val="0"/>
    <w:rPr>
      <w:color w:val="FFFFFF"/>
      <w:shd w:val="clear" w:color="auto" w:fill="A32A2A"/>
    </w:rPr>
  </w:style>
  <w:style w:type="character" w:customStyle="1" w:styleId="16">
    <w:name w:val="sjx"/>
    <w:basedOn w:val="11"/>
    <w:autoRedefine/>
    <w:qFormat/>
    <w:uiPriority w:val="0"/>
  </w:style>
  <w:style w:type="character" w:customStyle="1" w:styleId="17">
    <w:name w:val="time"/>
    <w:basedOn w:val="11"/>
    <w:autoRedefine/>
    <w:qFormat/>
    <w:uiPriority w:val="0"/>
  </w:style>
  <w:style w:type="character" w:customStyle="1" w:styleId="18">
    <w:name w:val="icon021"/>
    <w:basedOn w:val="11"/>
    <w:autoRedefine/>
    <w:qFormat/>
    <w:uiPriority w:val="0"/>
    <w:rPr>
      <w:sz w:val="18"/>
      <w:szCs w:val="18"/>
    </w:rPr>
  </w:style>
  <w:style w:type="character" w:customStyle="1" w:styleId="19">
    <w:name w:val="icon014"/>
    <w:basedOn w:val="11"/>
    <w:autoRedefine/>
    <w:qFormat/>
    <w:uiPriority w:val="0"/>
    <w:rPr>
      <w:sz w:val="18"/>
      <w:szCs w:val="18"/>
    </w:rPr>
  </w:style>
  <w:style w:type="paragraph" w:customStyle="1" w:styleId="20">
    <w:name w:val="Table Text"/>
    <w:basedOn w:val="1"/>
    <w:autoRedefine/>
    <w:semiHidden/>
    <w:qFormat/>
    <w:uiPriority w:val="0"/>
    <w:rPr>
      <w:rFonts w:ascii="仿宋" w:hAnsi="仿宋" w:eastAsia="仿宋" w:cs="仿宋"/>
      <w:sz w:val="28"/>
      <w:szCs w:val="28"/>
      <w:lang w:val="en-US" w:eastAsia="en-US" w:bidi="ar-SA"/>
    </w:rPr>
  </w:style>
  <w:style w:type="table" w:customStyle="1" w:styleId="21">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3396</Words>
  <Characters>3429</Characters>
  <Lines>0</Lines>
  <Paragraphs>0</Paragraphs>
  <TotalTime>1</TotalTime>
  <ScaleCrop>false</ScaleCrop>
  <LinksUpToDate>false</LinksUpToDate>
  <CharactersWithSpaces>3429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2019-01-22T02:37:00Z</dcterms:created>
  <dc:creator>陈科灶</dc:creator>
  <cp:lastModifiedBy>洛伽一</cp:lastModifiedBy>
  <cp:lastPrinted>2024-03-13T06:30:15Z</cp:lastPrinted>
  <dcterms:modified xsi:type="dcterms:W3CDTF">2024-03-15T07:39:02Z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9A8A8A813A07472EB3E329C2E4D86512_13</vt:lpwstr>
  </property>
</Properties>
</file>