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rPr>
      </w:pPr>
      <w:r>
        <w:rPr>
          <w:rFonts w:hint="eastAsia" w:ascii="方正小标宋简体" w:hAnsi="方正小标宋简体" w:eastAsia="方正小标宋简体" w:cs="方正小标宋简体"/>
          <w:sz w:val="44"/>
          <w:szCs w:val="44"/>
        </w:rPr>
        <w:t>数字福州“十三五”发展规划</w:t>
      </w:r>
    </w:p>
    <w:p>
      <w:pPr>
        <w:spacing w:line="576" w:lineRule="exact"/>
      </w:pPr>
    </w:p>
    <w:p>
      <w:pPr>
        <w:pStyle w:val="2"/>
        <w:jc w:val="center"/>
      </w:pPr>
      <w:bookmarkStart w:id="0" w:name="_Toc455739594"/>
      <w:bookmarkStart w:id="1" w:name="_Toc479925213"/>
      <w:r>
        <w:t>前</w:t>
      </w:r>
      <w:r>
        <w:rPr>
          <w:rFonts w:hint="eastAsia"/>
        </w:rPr>
        <w:t xml:space="preserve"> </w:t>
      </w:r>
      <w:r>
        <w:rPr>
          <w:rFonts w:hint="eastAsia"/>
          <w:lang w:val="en-US" w:eastAsia="zh-CN"/>
        </w:rPr>
        <w:t xml:space="preserve">  </w:t>
      </w:r>
      <w:r>
        <w:rPr>
          <w:rFonts w:hint="eastAsia"/>
        </w:rPr>
        <w:t>言</w:t>
      </w:r>
      <w:bookmarkEnd w:id="0"/>
      <w:bookmarkEnd w:id="1"/>
    </w:p>
    <w:p>
      <w:pPr>
        <w:spacing w:line="576" w:lineRule="exact"/>
        <w:ind w:firstLine="640" w:firstLineChars="200"/>
        <w:rPr>
          <w:rFonts w:ascii="仿宋" w:hAnsi="仿宋" w:eastAsia="仿宋"/>
        </w:rPr>
      </w:pPr>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十三五”时期，是福州高起点加速推进跨越赶超，高质量实现经济社会转型发展的关键时期，也是率先全面建成小康社会的决胜期，科学编制和有效实施《数字福州“十三五”发展规划》（以下简称《规划》），对构筑政府治理能力提升新途径、探索增强民生福祉新方式、打造经济转型发展新动能，对于福州市“十三五”整体战略目标的实现具有重要作用。</w:t>
      </w:r>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规划》根据《福建省“十三五”数字福建专项规划》和《福州市国民经济和社会发展第十三个五年规划纲要》编制，主要目的是阐明“数字福州”发展的总体要求、目标任务和保障措施，是各行业各部门在“十三五”期间实施信息化建设的重要参考依据，是全市信息化工作的指导性纲领。</w:t>
      </w:r>
    </w:p>
    <w:p>
      <w:pPr>
        <w:spacing w:line="576" w:lineRule="exact"/>
        <w:ind w:firstLine="640" w:firstLineChars="200"/>
        <w:rPr>
          <w:rFonts w:hint="eastAsia" w:ascii="仿宋_GB2312" w:hAnsi="仿宋_GB2312" w:eastAsia="仿宋_GB2312" w:cs="仿宋_GB2312"/>
        </w:rPr>
        <w:sectPr>
          <w:headerReference r:id="rId3" w:type="first"/>
          <w:footerReference r:id="rId6" w:type="first"/>
          <w:footerReference r:id="rId4" w:type="default"/>
          <w:footerReference r:id="rId5" w:type="even"/>
          <w:pgSz w:w="11906" w:h="16838"/>
          <w:pgMar w:top="2098" w:right="1474" w:bottom="1985" w:left="1588" w:header="851" w:footer="1474" w:gutter="0"/>
          <w:pgNumType w:fmt="decimal" w:start="1"/>
          <w:cols w:space="720" w:num="1"/>
          <w:titlePg/>
          <w:docGrid w:type="lines" w:linePitch="312" w:charSpace="-614"/>
        </w:sectPr>
      </w:pPr>
      <w:r>
        <w:rPr>
          <w:rFonts w:hint="eastAsia" w:ascii="仿宋_GB2312" w:hAnsi="仿宋_GB2312" w:eastAsia="仿宋_GB2312" w:cs="仿宋_GB2312"/>
        </w:rPr>
        <w:t>本规划周期为2017-2020年。</w:t>
      </w:r>
    </w:p>
    <w:p>
      <w:pPr>
        <w:pStyle w:val="2"/>
        <w:jc w:val="center"/>
        <w:rPr>
          <w:rFonts w:hint="eastAsia"/>
        </w:rPr>
      </w:pPr>
      <w:bookmarkStart w:id="2" w:name="_Toc479925214"/>
      <w:bookmarkStart w:id="3" w:name="_Toc455739595"/>
      <w:r>
        <w:rPr>
          <w:rFonts w:hint="eastAsia"/>
        </w:rPr>
        <w:t>第一</w:t>
      </w:r>
      <w:r>
        <w:t>章</w:t>
      </w:r>
      <w:r>
        <w:rPr>
          <w:rFonts w:hint="eastAsia"/>
        </w:rPr>
        <w:t xml:space="preserve"> 发展基础</w:t>
      </w:r>
      <w:bookmarkEnd w:id="2"/>
      <w:bookmarkEnd w:id="3"/>
    </w:p>
    <w:p>
      <w:pPr>
        <w:pStyle w:val="3"/>
        <w:ind w:firstLine="640"/>
        <w:rPr>
          <w:b/>
        </w:rPr>
      </w:pPr>
      <w:bookmarkStart w:id="4" w:name="_Toc455739596"/>
      <w:bookmarkStart w:id="5" w:name="_Toc479925215"/>
      <w:r>
        <w:t>一</w:t>
      </w:r>
      <w:r>
        <w:rPr>
          <w:rFonts w:hint="eastAsia"/>
        </w:rPr>
        <w:t>、发展</w:t>
      </w:r>
      <w:bookmarkEnd w:id="4"/>
      <w:r>
        <w:rPr>
          <w:rFonts w:hint="eastAsia"/>
        </w:rPr>
        <w:t>现状</w:t>
      </w:r>
      <w:bookmarkEnd w:id="5"/>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十二五”时期，“数字福州”建设取得良好效果，全市信息化水平显著提高，为我市率先全面建成小康社会作出了重要贡献。2016年7月国家行政学院公布《2016中国城市电子政务发展水平调查报告》，福州市电子政务发展位居全国前列。2016年12月清华大学发布《2016年中国互联网+政务服务调查评估报告》，福州市互联网+政务服务水平获评“四星”级，在全国处于领先地位。</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——信息化基础设施得到新提升。</w:t>
      </w:r>
      <w:r>
        <w:rPr>
          <w:rFonts w:hint="eastAsia" w:ascii="仿宋_GB2312" w:hAnsi="仿宋_GB2312" w:eastAsia="仿宋_GB2312" w:cs="仿宋_GB2312"/>
        </w:rPr>
        <w:t>宽带网络接入速率进一步提升，无线局域网基本实现了重要公共区域热点覆盖，“公益无线”免费WIFI项目已在五城区和长乐市布设无线AP11403个，每月登陆人数超过60万人次。全市102家市级单位已接入全市统一的政务外网城域骨干网（“智网”），基本实现市直单位全覆盖。市级政务云计算平台基本建成, 为31家市直单位92个系统提供云资源服务和技术支撑。建成福州市政务云平台安全体系，云平台通过信息安全三级等保测评，电子政务容灾备份公共平台初见成效。</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——信息资源开放共享再上新台阶。</w:t>
      </w:r>
      <w:r>
        <w:rPr>
          <w:rFonts w:hint="eastAsia" w:ascii="仿宋_GB2312" w:hAnsi="仿宋_GB2312" w:eastAsia="仿宋_GB2312" w:cs="仿宋_GB2312"/>
        </w:rPr>
        <w:t>建成人口、法人、电子证照、空间地理、宏观经济等基础数据库，已入库人口数据710.5万、法人数据25.04万、信用数据190万条，实现规划区1026平方公里1:2000比例尺的数字正射影像图、数字线划图和矢量电子地图全覆盖。全市入库电子证照数据量934万，位居全国第一，在全国率先实现电子证照全流程网上应用。数据共享交换、数据校验和数据应用格局基本形成，信息资源目录得到进一步完善，福州市大数据平台已汇聚省市107家单位的各类数据2亿余条，进一步推动政务数据汇聚共享和开放开发，信息公开得到进一步增强。</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——电子政务取得新进展。</w:t>
      </w:r>
      <w:r>
        <w:rPr>
          <w:rFonts w:hint="eastAsia" w:ascii="仿宋_GB2312" w:hAnsi="仿宋_GB2312" w:eastAsia="仿宋_GB2312" w:cs="仿宋_GB2312"/>
        </w:rPr>
        <w:t>一站式服务窗口、公共信息服务平台、12345、福州发布等持续深化，“中国福州”门户网站绩效考核连续七年位居全省第一，“@福州发布”政务微博持续入选福建十大党政新闻发布微博，排名第一。整合全市各级机关办公自动化系统，建成福州市综合协同办公系统，覆盖全市乡镇（街道）以上党委、人大、政府、政协机关。政民互动渠道进一步增强，市民公共服务平台实现45个部门503项办事指南在线查看，33个市民服务机构在线办事预约，公积金、医保、自来水等11类公共服务查询及缴费。 “e福州”综合指挥平台初步实现“一个城市，一套网格”，信息统一采集上报、事件自动分发、过程监管和联动处置。城市管理、平安福州、食品药品安全等领域信息化应用逐步深入，城市治理水平显著提高。</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——信息惠民实现新突破。</w:t>
      </w:r>
      <w:r>
        <w:rPr>
          <w:rFonts w:hint="eastAsia" w:ascii="仿宋_GB2312" w:hAnsi="仿宋_GB2312" w:eastAsia="仿宋_GB2312" w:cs="仿宋_GB2312"/>
        </w:rPr>
        <w:t>惠民利民工程持续实施，教育、人社、卫计、民政、金融等民生领域信息化重大工程相继建成，社区政务服务综合管理平台实现33项业务在社区统一受理、就近办理和全城通办，互联网+政务服务水平全国领先。建成全市统一的市民身份认证平台，实名注册用户已达42.18万人，实现“一次认证、全网共享”。市民卡累计制发市民卡671.09万张、敬老卡18.98万张。基本公共服务均等化和普惠化水平逐步提高，人民生活更加富足，信息获取更加便捷。</w:t>
      </w:r>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“数字福州”建设在“十二五”时期取得了较好成效，但与国家、省、市发展战略要求，与人民群众期待相比，仍有不少差距。</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一是信息基础设施建设有待加强。</w:t>
      </w:r>
      <w:r>
        <w:rPr>
          <w:rFonts w:hint="eastAsia" w:ascii="仿宋_GB2312" w:hAnsi="仿宋_GB2312" w:eastAsia="仿宋_GB2312" w:cs="仿宋_GB2312"/>
        </w:rPr>
        <w:t>基础通信网络建设水平与国内发达城市比较，尚存在一定差距。光纤入户率有待进一步提高，4G网络尚未实现全市覆盖，公共场所WiFi的覆盖率和用户体验仍有较大提升空间。水、电、气、通讯等城市基础设施的配套传感设备尚未整合，地下管网、城市部件等基础设施的智能化感知和监控管理水平有待加强。网络空间安全基础设施建设滞后，各部门建设的信息化系统存在防护能力不强等问题。</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二是信息资源共享利用水平亟待提高。</w:t>
      </w:r>
      <w:r>
        <w:rPr>
          <w:rFonts w:hint="eastAsia" w:ascii="仿宋_GB2312" w:hAnsi="仿宋_GB2312" w:eastAsia="仿宋_GB2312" w:cs="仿宋_GB2312"/>
        </w:rPr>
        <w:t>基础信息资源尚未实现全市统筹建设，数据更新不及时、不全面、准确度不高。受到条块分割、各自为政的束缚，部门间、行业间数据共享难度大，频次低，“纵强横弱”“以我为主”“分散建设”等信息孤岛现象依然存在。现存的各类部门规章制度严重制约信息资源的共享利用和深度开发，必须加快创新信息资源的管理制度和模式，全力推动大数据发展。</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三是新一代信息技术应用尚待深入普及。</w:t>
      </w:r>
      <w:r>
        <w:rPr>
          <w:rFonts w:hint="eastAsia" w:ascii="仿宋_GB2312" w:hAnsi="仿宋_GB2312" w:eastAsia="仿宋_GB2312" w:cs="仿宋_GB2312"/>
        </w:rPr>
        <w:t>新一代信息技术如物联网、云计算和大数据等技术应用尚待深入和普及。信息化工作仍聚焦在通信网络建设、业务数据应用、辅助办公等初级层次上，在信息采集、信息处理、信息服务、信息共享交换等方面的智能化、自动化程度仍然较低。信息采集基础设施不足，数据的有效性、真实性难以保证。海量信息资源有待深度开发利用，大数据在政府公共服务配置与宏观决策方面的支撑能力亟待提升。社会公众参与城市治理的程度不高，需充分运用“互联网+”等手段营造社会共治的良好局面。</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四是服务新业态的机制体制创新亟需加强。</w:t>
      </w:r>
      <w:r>
        <w:rPr>
          <w:rFonts w:hint="eastAsia" w:ascii="仿宋_GB2312" w:hAnsi="仿宋_GB2312" w:eastAsia="仿宋_GB2312" w:cs="仿宋_GB2312"/>
        </w:rPr>
        <w:t>大数据、“互联网+”、分享经济等一系列新技术新业态蓬勃发展，现有的政策法规还不适应发展需要，信息化管理体制机制有待完善。信息化建设的技术支撑、标准规范及管理办法存在缺位现象，体制机制创新滞后制约信息化潜能的开发，制约新模式、新业态、新技术的培育和发展,限制了“大众创业、万众创新”。信息化监管能力相对薄弱，监管手段有待改进，事中、事后监管有待加强；信息化工作绩效考核评价、信息化推进机制和监督约束机制有待完善；电信监管体制改革有待深化，信息化法制建设需要进一步加快。</w:t>
      </w:r>
    </w:p>
    <w:p>
      <w:pPr>
        <w:pStyle w:val="3"/>
        <w:ind w:firstLine="640"/>
      </w:pPr>
      <w:bookmarkStart w:id="6" w:name="_Toc455739597"/>
      <w:bookmarkStart w:id="7" w:name="_Toc479925216"/>
      <w:r>
        <w:rPr>
          <w:rFonts w:hint="eastAsia"/>
        </w:rPr>
        <w:t>二、发展</w:t>
      </w:r>
      <w:bookmarkEnd w:id="6"/>
      <w:r>
        <w:rPr>
          <w:rFonts w:hint="eastAsia"/>
        </w:rPr>
        <w:t>形势</w:t>
      </w:r>
      <w:bookmarkEnd w:id="7"/>
    </w:p>
    <w:p>
      <w:pPr>
        <w:spacing w:line="576" w:lineRule="exact"/>
        <w:ind w:firstLine="64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从国际看，以信息技术为代表的新一轮科技革命方兴未艾，互联网日益成为创新驱动发展的先导力量。信息技术与生物技术、新能源技术、新材料技术等交叉融合，正在引发以绿色、智能、泛在为特征的群体性技术突破。信息、资本、技术、人才在全球范围内加速流动，互联网推动产业变革，促进工业经济向信息经济转型，国际分工新体系正在形成。全球信息化进入全面渗透、跨界融合、加速创新、引领发展的新阶段。加快信息化发展，建设数字国家已经成为全球共识。</w:t>
      </w:r>
    </w:p>
    <w:p>
      <w:pPr>
        <w:spacing w:line="576" w:lineRule="exact"/>
        <w:ind w:firstLine="64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从国内看，进入新世纪特别是党的十八大以来，我国信息化取得长足进展，目前，我国网民数量、网络零售交易额、电子信息产品制造规模已居全球第一，一批信息技术企业和互联网企业进入世界前列，形成了较为完善的信息产业体系。信息技术应用不断深化，“互联网+”异军突起，经济社会数字化网络化转型步伐加快，网络空间正能量进一步汇聚增强，信息化在现代化建设全局中引领作用日益凸显。</w:t>
      </w:r>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从福州市看，福州市在国家、省各级部门的支持下，先后获得信息惠民国家示范城市试点、新型智慧城市标杆市、首批国家电子商务示范城市、首批信息消费示范城市、信息产业国家高技术产业基地、三网融合试点城市、两岸产业合作无线城市试点、国家新型工业化产业示范基地、国家火炬计划软件产业基地、国家现代服务业产业化基地、国家影视动漫实验园等殊荣。同时，数字中国、</w:t>
      </w:r>
      <w:r>
        <w:rPr>
          <w:rFonts w:hint="eastAsia" w:ascii="仿宋_GB2312" w:hAnsi="仿宋_GB2312" w:eastAsia="仿宋_GB2312" w:cs="仿宋_GB2312"/>
          <w:color w:val="000000"/>
        </w:rPr>
        <w:t>“互联网+”</w:t>
      </w:r>
      <w:r>
        <w:rPr>
          <w:rFonts w:hint="eastAsia" w:ascii="仿宋_GB2312" w:hAnsi="仿宋_GB2312" w:eastAsia="仿宋_GB2312" w:cs="仿宋_GB2312"/>
        </w:rPr>
        <w:t>、大数据、分享经济等一系列国家发展新兴信息产业的重大利好政策相继发布，为福州市信息化发展带来了绝佳机遇。</w:t>
      </w:r>
    </w:p>
    <w:p>
      <w:pPr>
        <w:spacing w:line="576" w:lineRule="exact"/>
        <w:ind w:firstLine="640"/>
        <w:rPr>
          <w:rFonts w:hint="eastAsia" w:ascii="仿宋_GB2312" w:hAnsi="仿宋_GB2312" w:eastAsia="仿宋_GB2312" w:cs="仿宋_GB2312"/>
        </w:rPr>
        <w:sectPr>
          <w:pgSz w:w="11906" w:h="16838"/>
          <w:pgMar w:top="2098" w:right="1474" w:bottom="1985" w:left="1588" w:header="850" w:footer="1134" w:gutter="0"/>
          <w:pgNumType w:fmt="decimal"/>
          <w:cols w:space="720" w:num="1"/>
          <w:titlePg/>
          <w:docGrid w:type="lines" w:linePitch="435" w:charSpace="-614"/>
        </w:sectPr>
      </w:pPr>
      <w:r>
        <w:rPr>
          <w:rFonts w:hint="eastAsia" w:ascii="仿宋_GB2312" w:hAnsi="仿宋_GB2312" w:eastAsia="仿宋_GB2312" w:cs="仿宋_GB2312"/>
        </w:rPr>
        <w:t>我们应牢牢抓住“数字福州”发展的空前历史机遇期，加强统筹规划、增补能力短板、注重业务协同、创新技术应用，继续在全省信息化保持先进行列，更好地服务于更具实力、更富活力、更有魅力的现代化新福州建设。</w:t>
      </w:r>
    </w:p>
    <w:p>
      <w:pPr>
        <w:pStyle w:val="2"/>
        <w:jc w:val="center"/>
      </w:pPr>
      <w:bookmarkStart w:id="8" w:name="_Toc479925217"/>
      <w:bookmarkStart w:id="9" w:name="_Toc455739598"/>
      <w:r>
        <w:rPr>
          <w:rFonts w:hint="eastAsia"/>
        </w:rPr>
        <w:t>第二章 总体思路</w:t>
      </w:r>
      <w:bookmarkEnd w:id="8"/>
      <w:bookmarkEnd w:id="9"/>
    </w:p>
    <w:p>
      <w:bookmarkStart w:id="10" w:name="_Toc455739599"/>
    </w:p>
    <w:p>
      <w:pPr>
        <w:pStyle w:val="3"/>
        <w:ind w:firstLine="640"/>
      </w:pPr>
      <w:bookmarkStart w:id="11" w:name="_Toc479925218"/>
      <w:r>
        <w:rPr>
          <w:rFonts w:hint="eastAsia"/>
        </w:rPr>
        <w:t>一、总体要求</w:t>
      </w:r>
      <w:bookmarkEnd w:id="10"/>
      <w:bookmarkEnd w:id="11"/>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rPr>
        <w:t>高举中国特色社会主义伟大旗帜，全面贯彻党的十八大和十八届三中、四中、五中、六中全会精神，以邓小平理论、“三个代表”重要思想、科学发展观为指导，深入贯彻习近平总书记系列重要讲话精神和对福建、福州工作的重要指示精神，紧紧围绕“五位一体”总体布局和“四个全面”战略布局，牢固树立创新、协调、绿色、开放、共享的发展理念，贯彻以人民为中心的发展思想，以信息化驱动现代化为主线，以建设数据强市、网络强市为目标，切实发挥科技创新引领作用，增强福州市信息化发展能力，提高信息化应用水平，优化信息化发展环境，推进福州市治理体系和治理能力现代化，努力在践行新发展理念上先行一步，让信息化造福社会、造福人民，为建设机制活、产业优、百姓富、生态美的现代化新福州做出新的贡献。</w:t>
      </w:r>
    </w:p>
    <w:p>
      <w:pPr>
        <w:pStyle w:val="3"/>
        <w:ind w:firstLine="640"/>
      </w:pPr>
      <w:bookmarkStart w:id="12" w:name="_Toc479925219"/>
      <w:bookmarkStart w:id="13" w:name="_Toc455739601"/>
      <w:r>
        <w:rPr>
          <w:rFonts w:hint="eastAsia"/>
        </w:rPr>
        <w:t>二、发展目标</w:t>
      </w:r>
      <w:bookmarkEnd w:id="12"/>
      <w:bookmarkEnd w:id="13"/>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rPr>
        <w:t>到2020年，基本建成泛在宽带、先进安全的下一代网络和各类公共平台，政府信息资源汇聚共享和开放开发格局全面形成，网络经济与实体经济协同互动的发展格局基本形成，“全时全程”的统一民生服务体系全面建成，经济社会运行高度网络化，基本构建基于大数据的精准治理、多方协作的城市治理新模式，“互联网+”成为创新驱动发展的重要力量，各类重大战略专项基本建成，安全保障能力全面提升。基本实现“数字化、网络化、可视化、智慧化”，“数字福州”服务经济社会发展作用进一步增强。</w:t>
      </w:r>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——信息化引领作用进一步增强。</w:t>
      </w:r>
      <w:r>
        <w:rPr>
          <w:rFonts w:hint="eastAsia" w:ascii="仿宋_GB2312" w:hAnsi="仿宋_GB2312" w:eastAsia="仿宋_GB2312" w:cs="仿宋_GB2312"/>
        </w:rPr>
        <w:t>要把服务福州发展作为“数字福州”的主攻方向，将“数字福州”建设融入到社会发展的各个方面，站在更高维度统筹福州市各领域信息化发展建设，为福州全面建成小康社会提供强有力支撑。</w:t>
      </w:r>
    </w:p>
    <w:p>
      <w:pPr>
        <w:spacing w:line="576" w:lineRule="exact"/>
        <w:ind w:firstLine="640"/>
        <w:rPr>
          <w:rFonts w:hint="eastAsia" w:ascii="仿宋_GB2312" w:hAnsi="仿宋_GB2312" w:eastAsia="仿宋_GB2312" w:cs="仿宋_GB2312"/>
          <w:b/>
          <w:color w:val="FF0000"/>
        </w:rPr>
      </w:pPr>
      <w:r>
        <w:rPr>
          <w:rFonts w:hint="eastAsia" w:ascii="仿宋_GB2312" w:hAnsi="仿宋_GB2312" w:eastAsia="仿宋_GB2312" w:cs="仿宋_GB2312"/>
          <w:b/>
        </w:rPr>
        <w:t>——信息化基础设施更加先进。</w:t>
      </w:r>
      <w:r>
        <w:rPr>
          <w:rFonts w:hint="eastAsia" w:ascii="仿宋_GB2312" w:hAnsi="仿宋_GB2312" w:eastAsia="仿宋_GB2312" w:cs="仿宋_GB2312"/>
        </w:rPr>
        <w:t>建成泛在先进的下一代互联网和各类公共平台，固定宽带家庭普及率90%以上，城市和农村家庭宽带接入能力分别达到100M和30M，移动宽带用户普及率达到95%，WLAN热点广泛覆盖，4G+信号覆盖所有行政村，广电网络双向覆盖率达到80%。</w:t>
      </w:r>
    </w:p>
    <w:p>
      <w:pPr>
        <w:spacing w:line="576" w:lineRule="exact"/>
        <w:ind w:firstLine="640"/>
        <w:rPr>
          <w:rFonts w:hint="eastAsia" w:ascii="仿宋_GB2312" w:hAnsi="仿宋_GB2312" w:eastAsia="仿宋_GB2312" w:cs="仿宋_GB2312"/>
          <w:b/>
          <w:color w:val="FF0000"/>
        </w:rPr>
      </w:pPr>
      <w:r>
        <w:rPr>
          <w:rFonts w:hint="eastAsia" w:ascii="仿宋_GB2312" w:hAnsi="仿宋_GB2312" w:eastAsia="仿宋_GB2312" w:cs="仿宋_GB2312"/>
          <w:b/>
        </w:rPr>
        <w:t>——政府治理能力得到进一步提升。</w:t>
      </w:r>
      <w:r>
        <w:rPr>
          <w:rFonts w:hint="eastAsia" w:ascii="仿宋_GB2312" w:hAnsi="仿宋_GB2312" w:eastAsia="仿宋_GB2312" w:cs="仿宋_GB2312"/>
          <w:color w:val="000000"/>
        </w:rPr>
        <w:t>通过高效采集、有效整合、深化应用政府数据和社会数据，提高社会治理的精准性和有效性，在市政管理、人口管理、治安防控、交通管理、公共安全、应急管理、食品药品安全、社会</w:t>
      </w:r>
      <w:r>
        <w:rPr>
          <w:rFonts w:hint="eastAsia" w:ascii="仿宋_GB2312" w:hAnsi="仿宋_GB2312" w:eastAsia="仿宋_GB2312" w:cs="仿宋_GB2312"/>
        </w:rPr>
        <w:t>诚信等社会管理领域形成智慧应用体系，管理对象智慧化覆盖率达70%。建成高效便捷的在线政府，核心业务信息化率达100%，核心数据共享率达80%。推行政务“办事全程网络、服务主动推送”应用，行政许可事项网上办理率达98.7%，社会服务事务网上办理率达85%。信息共享和业务协同水平显著增强，政府治理能力和行政效能大幅提升。</w:t>
      </w:r>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——多元协调的产业格局基本形成。</w:t>
      </w:r>
      <w:r>
        <w:rPr>
          <w:rFonts w:hint="eastAsia" w:ascii="仿宋_GB2312" w:hAnsi="仿宋_GB2312" w:eastAsia="仿宋_GB2312" w:cs="仿宋_GB2312"/>
        </w:rPr>
        <w:t>更好发挥信息化在产业转型升级的带动作用，大力发展数字经济，逐步形成双轮驱动的产业格局。利用大数据技术，使信息资源价值潜能得到有效释放，推动产业创新发展，建成国内有影响力、极具产业发展特色的东南大数据产业园区，技工贸收入力争突破800亿，其中特色行业大数据服务产值超300亿，带动相关产业规模达1500亿元。</w:t>
      </w:r>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——惠及民生的服务体系更加完善。</w:t>
      </w:r>
      <w:r>
        <w:rPr>
          <w:rFonts w:hint="eastAsia" w:ascii="仿宋_GB2312" w:hAnsi="仿宋_GB2312" w:eastAsia="仿宋_GB2312" w:cs="仿宋_GB2312"/>
          <w:color w:val="000000"/>
        </w:rPr>
        <w:t>发</w:t>
      </w:r>
      <w:r>
        <w:rPr>
          <w:rFonts w:hint="eastAsia" w:ascii="仿宋_GB2312" w:hAnsi="仿宋_GB2312" w:eastAsia="仿宋_GB2312" w:cs="仿宋_GB2312"/>
        </w:rPr>
        <w:t>挥城市信息化的辐射作用，以公众、企业为中心，以教育文化、医疗卫生、劳动就业、社会保障、住房保障、</w:t>
      </w:r>
      <w:r>
        <w:rPr>
          <w:rFonts w:hint="eastAsia" w:ascii="仿宋_GB2312" w:hAnsi="仿宋_GB2312" w:eastAsia="仿宋_GB2312" w:cs="仿宋_GB2312"/>
          <w:bCs/>
        </w:rPr>
        <w:t>档案服务、</w:t>
      </w:r>
      <w:r>
        <w:rPr>
          <w:rFonts w:hint="eastAsia" w:ascii="仿宋_GB2312" w:hAnsi="仿宋_GB2312" w:eastAsia="仿宋_GB2312" w:cs="仿宋_GB2312"/>
        </w:rPr>
        <w:t>环境保护、交通出行、防灾减灾等公共服务领域的智慧应用体系建设为抓手，着力打造公平普惠、便捷高效的民生服务新体系。城乡公用基础设施实现智能化、精准化、一体化运行。形成以人为本、公平普惠、便捷高效的民生服务智慧应用体系，民生服务应用智慧化覆盖率达70%。</w:t>
      </w:r>
    </w:p>
    <w:p>
      <w:pPr>
        <w:pStyle w:val="2"/>
        <w:pageBreakBefore/>
        <w:jc w:val="center"/>
      </w:pPr>
      <w:bookmarkStart w:id="14" w:name="_Toc455739602"/>
      <w:bookmarkStart w:id="15" w:name="_Toc479925220"/>
      <w:r>
        <w:rPr>
          <w:rFonts w:hint="eastAsia"/>
        </w:rPr>
        <w:t>第三章 主要任务</w:t>
      </w:r>
      <w:bookmarkEnd w:id="14"/>
      <w:bookmarkEnd w:id="15"/>
    </w:p>
    <w:p>
      <w:bookmarkStart w:id="16" w:name="_Toc455739603"/>
    </w:p>
    <w:p>
      <w:pPr>
        <w:pStyle w:val="3"/>
        <w:ind w:firstLine="640"/>
      </w:pPr>
      <w:bookmarkStart w:id="17" w:name="_Toc479925221"/>
      <w:r>
        <w:rPr>
          <w:rFonts w:hint="eastAsia"/>
        </w:rPr>
        <w:t>一、夯实信息化基础设施</w:t>
      </w:r>
      <w:bookmarkEnd w:id="16"/>
      <w:bookmarkEnd w:id="17"/>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加快构建高速宽带、移动互联、泛在智能、安全可控的新一代城市信息基础设施，为经济社会数字化、网络化、智能化发展提供坚实的基础。到2020年，基本建成泛在宽带、先进安全的下一代网络和各类公共平台。</w:t>
      </w:r>
    </w:p>
    <w:p>
      <w:pPr>
        <w:pStyle w:val="4"/>
        <w:ind w:firstLine="643"/>
        <w:rPr>
          <w:rFonts w:ascii="楷体" w:hAnsi="楷体" w:eastAsia="楷体"/>
        </w:rPr>
      </w:pPr>
      <w:bookmarkStart w:id="18" w:name="_Toc455739604"/>
      <w:bookmarkStart w:id="19" w:name="_Toc479925222"/>
      <w:r>
        <w:rPr>
          <w:rFonts w:hint="eastAsia" w:ascii="楷体" w:hAnsi="楷体" w:eastAsia="楷体"/>
        </w:rPr>
        <w:t>（一）建设高标准的新一代</w:t>
      </w:r>
      <w:bookmarkEnd w:id="18"/>
      <w:r>
        <w:rPr>
          <w:rFonts w:hint="eastAsia" w:ascii="楷体" w:hAnsi="楷体" w:eastAsia="楷体"/>
        </w:rPr>
        <w:t>宽带网络</w:t>
      </w:r>
      <w:bookmarkEnd w:id="19"/>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加快高水平的互联网基础设施建设，扩容升级互联网骨干网和城域网，全面提升光纤宽带接入能力，大力推进4G网络，积极布局5G网络，实现无线局域网在重要区域和公共场所全覆盖。加快推进“三网融合”，鼓励通信、广电、电力等加强合作，支持行业专用通信网用户利用电信、广电等公共基础网络开展专有业务应用。实施宽带乡村工程和中小城市（县城）基础网络完善工程，保障老少边穷地区信息通信能力。</w:t>
      </w:r>
    </w:p>
    <w:p>
      <w:pPr>
        <w:pStyle w:val="4"/>
        <w:ind w:firstLine="643"/>
        <w:rPr>
          <w:rFonts w:ascii="楷体" w:hAnsi="楷体" w:eastAsia="楷体"/>
        </w:rPr>
      </w:pPr>
      <w:bookmarkStart w:id="20" w:name="_Toc479925223"/>
      <w:r>
        <w:rPr>
          <w:rFonts w:hint="eastAsia" w:ascii="楷体" w:hAnsi="楷体" w:eastAsia="楷体"/>
        </w:rPr>
        <w:t>（二）推动城市基础设施智能化</w:t>
      </w:r>
      <w:bookmarkEnd w:id="20"/>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1.推进建设物联网泛在感知体系。</w:t>
      </w:r>
      <w:r>
        <w:rPr>
          <w:rFonts w:hint="eastAsia" w:ascii="仿宋_GB2312" w:hAnsi="仿宋_GB2312" w:eastAsia="仿宋_GB2312" w:cs="仿宋_GB2312"/>
        </w:rPr>
        <w:t>建设物联网公共服务平台，实现物联终端的统一识别和接入，物联信息的集成和分发。通过物联网公共服务平台，利用全球地理栅格剖分技术，建设全方位多维度的物物互联的感知网络，推进全市视频监控网络、水务资源感知网络、生态环境监测网络、交通智能化感知网络以及综合管廊感知网络建设，实现感知对象的精准标识和感知信息的安全接入，形成一体化全方位的城市资源感知体系。</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2.加快智能化城市综合管理体系建设。</w:t>
      </w:r>
      <w:r>
        <w:rPr>
          <w:rFonts w:hint="eastAsia" w:ascii="仿宋_GB2312" w:hAnsi="仿宋_GB2312" w:eastAsia="仿宋_GB2312" w:cs="仿宋_GB2312"/>
        </w:rPr>
        <w:t>大力改造现有城市基础设施，建设城市规划、国土管理、房屋建筑、道路交通、市政管理、园林绿化、公共安全、应急指挥、社会管理等行业的空间实体多维、可视的管理体系，大力提升城市地上、地表、地下空间实体的管理及共享服务水平；鼓励建设低碳管控的智能楼宇；推进福州市交通信息化平台、停车诱导系统、道路交通信息发布平台等项目，实现智能化交通治堵。</w:t>
      </w:r>
    </w:p>
    <w:p>
      <w:pPr>
        <w:pStyle w:val="4"/>
        <w:ind w:firstLine="643"/>
        <w:rPr>
          <w:rFonts w:ascii="楷体" w:hAnsi="楷体" w:eastAsia="楷体"/>
        </w:rPr>
      </w:pPr>
      <w:bookmarkStart w:id="21" w:name="_Toc479925224"/>
      <w:r>
        <w:rPr>
          <w:rFonts w:hint="eastAsia" w:ascii="楷体" w:hAnsi="楷体" w:eastAsia="楷体"/>
        </w:rPr>
        <w:t>（三）增强电子政务基础支撑体系</w:t>
      </w:r>
      <w:bookmarkEnd w:id="21"/>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1.健全政务网络体系。</w:t>
      </w:r>
      <w:r>
        <w:rPr>
          <w:rFonts w:hint="eastAsia" w:ascii="仿宋_GB2312" w:hAnsi="仿宋_GB2312" w:eastAsia="仿宋_GB2312" w:cs="仿宋_GB2312"/>
        </w:rPr>
        <w:t>开展福州市政务外网（含专网）整合工程和政务信息网市级横向网改造工程，初步建成覆盖市、县（市）区、乡镇（街道）和村（社区）四级的全市政务外网城域</w:t>
      </w:r>
      <w:r>
        <w:rPr>
          <w:rFonts w:hint="eastAsia" w:ascii="仿宋_GB2312" w:hAnsi="仿宋_GB2312" w:eastAsia="仿宋_GB2312" w:cs="仿宋_GB2312"/>
          <w:color w:val="000000"/>
        </w:rPr>
        <w:t>骨干</w:t>
      </w:r>
      <w:r>
        <w:rPr>
          <w:rFonts w:hint="eastAsia" w:ascii="仿宋_GB2312" w:hAnsi="仿宋_GB2312" w:eastAsia="仿宋_GB2312" w:cs="仿宋_GB2312"/>
        </w:rPr>
        <w:t>网（“智网”）。</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2.统筹建设云计算基础设施。</w:t>
      </w:r>
      <w:r>
        <w:rPr>
          <w:rFonts w:hint="eastAsia" w:ascii="仿宋_GB2312" w:hAnsi="仿宋_GB2312" w:eastAsia="仿宋_GB2312" w:cs="仿宋_GB2312"/>
        </w:rPr>
        <w:t>大力推进政府信息资源的整合共享，在五区二市五县实施三级政务节点机房建设，并完善全市统一的政务云、企业云、社会云，推动电子政务集约化建设，提高资源利用率。持续推动双活政务云平台和双活政务数据中心在全市统一规范化应用，根据资源使用情况和接入需求适时调整系统承载容量和规模，不断满足政务发展业务要求。</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3.建设福州城市大数据中心。</w:t>
      </w:r>
      <w:r>
        <w:rPr>
          <w:rFonts w:hint="eastAsia" w:ascii="仿宋_GB2312" w:hAnsi="仿宋_GB2312" w:eastAsia="仿宋_GB2312" w:cs="仿宋_GB2312"/>
        </w:rPr>
        <w:t>推动城市大数据中心的数据共享交换、大数据治理、大数据分析处理等基础平台建设，促进民生服务、产业经济等领域的大数据应用和产业发展。提升城市数据中心高性能计算能力，逐步支撑科学计算、工程仿真、图形图像计算等超算业务。构建数据容灾备份节点体系，提升城市大数据中心数据资源抵抗各种危险因素的容灾能力。</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4.建成全市政务综合运维管理平台。</w:t>
      </w:r>
      <w:r>
        <w:rPr>
          <w:rFonts w:hint="eastAsia" w:ascii="仿宋_GB2312" w:hAnsi="仿宋_GB2312" w:eastAsia="仿宋_GB2312" w:cs="仿宋_GB2312"/>
        </w:rPr>
        <w:t>在建设网络网管系统的基础上，增加和完善机房环境监控、固资、派单管理、云平台、大数据平台、应用、安全监控等方面内容，建设一个架构开放、功能全面的全市政务综合运维管理平台。</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5.统筹建设政务CA认证中心。</w:t>
      </w:r>
      <w:r>
        <w:rPr>
          <w:rFonts w:hint="eastAsia" w:ascii="仿宋_GB2312" w:hAnsi="仿宋_GB2312" w:eastAsia="仿宋_GB2312" w:cs="仿宋_GB2312"/>
        </w:rPr>
        <w:t>为企业、市民、政府工作人员提供政务相关应用过程中所需的各类电子证书发放、身份认证，电子签章发放、验签等服务，让电子政务相关应用更安全、更便捷、更智能。</w:t>
      </w:r>
    </w:p>
    <w:p>
      <w:pPr>
        <w:pStyle w:val="4"/>
        <w:ind w:firstLine="643"/>
        <w:rPr>
          <w:rFonts w:hint="eastAsia" w:ascii="楷体" w:hAnsi="楷体" w:eastAsia="楷体"/>
        </w:rPr>
      </w:pPr>
      <w:bookmarkStart w:id="22" w:name="_Toc455739605"/>
      <w:bookmarkStart w:id="23" w:name="_Toc479925225"/>
      <w:r>
        <w:rPr>
          <w:rFonts w:hint="eastAsia" w:ascii="楷体" w:hAnsi="楷体" w:eastAsia="楷体"/>
        </w:rPr>
        <w:t>（四）</w:t>
      </w:r>
      <w:bookmarkEnd w:id="22"/>
      <w:r>
        <w:rPr>
          <w:rFonts w:hint="eastAsia" w:ascii="楷体" w:hAnsi="楷体" w:eastAsia="楷体"/>
        </w:rPr>
        <w:t>打造开放的基础设施</w:t>
      </w:r>
      <w:r>
        <w:rPr>
          <w:rFonts w:ascii="楷体" w:hAnsi="楷体" w:eastAsia="楷体"/>
        </w:rPr>
        <w:t>支撑环境</w:t>
      </w:r>
      <w:bookmarkEnd w:id="23"/>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建立健全的IT基础设施环境，对基础设施、应用、信息资源、运维等各类资源进行调度管理和服务化封装，并面向福州市政府各部门、企业、开发者和个人开放各类基础支撑服务，实现信息基础设施、数据等资源监管和共享交换，支撑跨区域、跨部门应用的融合与协同，促进城市信息化服务的建设与发展，降低应用建设的复杂度。</w:t>
      </w:r>
    </w:p>
    <w:p>
      <w:pPr>
        <w:pStyle w:val="3"/>
        <w:ind w:firstLine="640"/>
      </w:pPr>
      <w:bookmarkStart w:id="24" w:name="_Toc455739617"/>
      <w:bookmarkStart w:id="25" w:name="_Toc479925226"/>
      <w:r>
        <w:rPr>
          <w:rFonts w:hint="eastAsia"/>
        </w:rPr>
        <w:t>二、</w:t>
      </w:r>
      <w:bookmarkEnd w:id="24"/>
      <w:r>
        <w:rPr>
          <w:rFonts w:hint="eastAsia"/>
        </w:rPr>
        <w:t>推进政府治理现代化</w:t>
      </w:r>
      <w:bookmarkEnd w:id="25"/>
    </w:p>
    <w:p>
      <w:pPr>
        <w:spacing w:line="576" w:lineRule="exact"/>
        <w:ind w:firstLine="640" w:firstLineChars="200"/>
        <w:rPr>
          <w:rFonts w:ascii="仿宋" w:hAnsi="仿宋" w:eastAsia="仿宋"/>
        </w:rPr>
      </w:pPr>
      <w:r>
        <w:rPr>
          <w:rFonts w:hint="eastAsia" w:ascii="仿宋_GB2312" w:hAnsi="仿宋_GB2312" w:eastAsia="仿宋_GB2312" w:cs="仿宋_GB2312"/>
        </w:rPr>
        <w:t>以构建现代化治理体系，提高政府治理能力为出发点，推进体制机制改革，加强政务大数据应用，以科技创新和体制机制变革双轮驱动推进“互联网+”条件下的政府扁平化管理，实现政府应用大数据支撑宏观决策，多元主体参与社会治理，以信息化推进政府治理体系和治理能力现代化。</w:t>
      </w:r>
    </w:p>
    <w:p>
      <w:pPr>
        <w:pStyle w:val="4"/>
        <w:ind w:firstLine="643"/>
        <w:rPr>
          <w:rFonts w:hint="eastAsia" w:ascii="楷体" w:hAnsi="楷体" w:eastAsia="楷体"/>
        </w:rPr>
      </w:pPr>
      <w:bookmarkStart w:id="26" w:name="_Toc479925227"/>
      <w:r>
        <w:rPr>
          <w:rFonts w:hint="eastAsia" w:ascii="楷体" w:hAnsi="楷体" w:eastAsia="楷体"/>
        </w:rPr>
        <w:t>（一）增强政务信息化水平</w:t>
      </w:r>
      <w:bookmarkEnd w:id="26"/>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1.创新电子政务运行管理体制。</w:t>
      </w:r>
      <w:r>
        <w:rPr>
          <w:rFonts w:hint="eastAsia" w:ascii="仿宋_GB2312" w:hAnsi="仿宋_GB2312" w:eastAsia="仿宋_GB2312" w:cs="仿宋_GB2312"/>
        </w:rPr>
        <w:t>建立强有力的福州市电子政务统筹协调机制，推进全市统一政务协同办公系统建设，制定电子政务管理办法，建立涵盖规划、建设、应用、管理、评价的全流程闭环管理机制。实施视频会议综合管理平台，为日常和应急现场指挥调度、临时会议相关应用提供高水平保障。大力推进政府采购服务，试点推广政府和社会资本合作模式，鼓励社会力量参与电子政务建设。</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2.推进政务数据汇聚共享开放。</w:t>
      </w:r>
      <w:r>
        <w:rPr>
          <w:rFonts w:hint="eastAsia" w:ascii="仿宋_GB2312" w:hAnsi="仿宋_GB2312" w:eastAsia="仿宋_GB2312" w:cs="仿宋_GB2312"/>
        </w:rPr>
        <w:t>建设市、县（市）区两级政务数据汇聚共享平台，汇聚整合各部门人口、法人数据，形成可供高效共享和分析挖掘的人口、法人数据云。2020年底前，实现车辆、船舶、项目、环境等各类管理服务对象数据汇聚，为各类政务服务和管理应用提供统一的数据环境支撑；依法有序开放网上政务服务资源和数据资源，鼓励公众、企业、高校和科研院所开发利用。</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3.加强和规范电子证照共享应用。</w:t>
      </w:r>
      <w:r>
        <w:rPr>
          <w:rFonts w:hint="eastAsia" w:ascii="仿宋_GB2312" w:hAnsi="仿宋_GB2312" w:eastAsia="仿宋_GB2312" w:cs="仿宋_GB2312"/>
        </w:rPr>
        <w:t>进一步推动电子证照生成与应用，将电子证照生成作为审批服务的正式环节，纳入全市网上办事大厅（网上审批系统）以及部门业务系统的办事流程，实现电子证照和网上办事事项的统一，建设可信电子文件公共服务平台，为各类可信电子文件提供生成、管理的工具，加快推进全市电子档案建设，并逐渐取代纸质档案。</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4.打造全市信息资源门户。</w:t>
      </w:r>
      <w:r>
        <w:rPr>
          <w:rFonts w:hint="eastAsia" w:ascii="仿宋_GB2312" w:hAnsi="仿宋_GB2312" w:eastAsia="仿宋_GB2312" w:cs="仿宋_GB2312"/>
        </w:rPr>
        <w:t>推进建设全市统一的大数据管理和技术支撑服务平台，汇聚整合政府数据，丰富城市信息资源门户内容，消除信息孤岛，实现信息资源跨部门、跨层级的共享使用，为各部门开展业务管理、统计分析、辅助决策以及在公共安全防范等领域提供支撑，促进大数据与云计算的融合，使其更好服务人民群众。整合互联网数据、企业数据和优质公共服务资源，梳理和更新政务信息资源目录、编制共享开放目录与指南，建立完整的全市信息资源目录和大数据融合服务体系，完善构建统一规范、互联互通的城市大数据管理与服务平台，持续提升大数据的汇聚、处理、应用和服务能力。</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5.推动建设时空信息公共服务平台。</w:t>
      </w:r>
      <w:r>
        <w:rPr>
          <w:rFonts w:hint="eastAsia" w:ascii="仿宋_GB2312" w:hAnsi="仿宋_GB2312" w:eastAsia="仿宋_GB2312" w:cs="仿宋_GB2312"/>
        </w:rPr>
        <w:t>丰富基础地理信息数据、公共专题数据、智能感知实时数据和空间规划数据等时空大数据，通过实施全市域机载激光LIDAR航空摄影、数码航摄及正射影像图制作、1:500地形图建设、全市域1:2000数字高程模型（DEM）及三维地形模型生产与建库、1:2000数字线划图（DLG）更新生产与建库、国产卫星影像数据等，全市域电子地图建设以及福州市创新地址要素管理等项目，构建智慧城市建设所需的地上地下、室内室外、虚拟现实一体化的时空数据资源。统一全市时空基准，纵贯市、区、街道、社区四级，实现城市各类信息资源的可视化管理。重点应用于城市管理、社会治理、交通、环保、气象、水利、公安等多个领域。优先围绕市县空间规划、“多规合一”等重点工作进行专业化平台建设和应用示范，促进城市科学、高效、可持续发展。</w:t>
      </w:r>
    </w:p>
    <w:p>
      <w:pPr>
        <w:pStyle w:val="4"/>
        <w:ind w:firstLine="643"/>
        <w:rPr>
          <w:rFonts w:ascii="楷体" w:hAnsi="楷体" w:eastAsia="楷体"/>
        </w:rPr>
      </w:pPr>
      <w:bookmarkStart w:id="27" w:name="_Toc479925228"/>
      <w:r>
        <w:rPr>
          <w:rFonts w:hint="eastAsia" w:ascii="楷体" w:hAnsi="楷体" w:eastAsia="楷体"/>
        </w:rPr>
        <w:t>（二）</w:t>
      </w:r>
      <w:r>
        <w:rPr>
          <w:rFonts w:ascii="楷体" w:hAnsi="楷体" w:eastAsia="楷体"/>
        </w:rPr>
        <w:t>提高社会治理能力</w:t>
      </w:r>
      <w:bookmarkEnd w:id="27"/>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1.加快创新立体化社会治安防控体系。</w:t>
      </w:r>
      <w:r>
        <w:rPr>
          <w:rFonts w:hint="eastAsia" w:ascii="仿宋_GB2312" w:hAnsi="仿宋_GB2312" w:eastAsia="仿宋_GB2312" w:cs="仿宋_GB2312"/>
        </w:rPr>
        <w:t>在福州市城区新建2.5万路高清视频监控系统，升级优化“平安福州”视频监控系统，建设福州城区治安卡口防控圈建设项目，健全公共安全人防、物防、技防网络，促进跨区域、跨部门的视频信息采集与共享，加快构建地面、地下、空中、海域、网络相结合的立体化社会治安防控体系；构建“动中通”移动指挥平台。建设一套集现场指挥调度、信息收集处理、指挥协同作战、辅助决策支持为一体的消防移动通信指挥平台；建设公共安全应用平台（公安云），优化公安信息化建设，提升反恐应急处置能力，深化“平安福州”建设。</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2.健全市场服务和监管体系。</w:t>
      </w:r>
      <w:r>
        <w:rPr>
          <w:rFonts w:hint="eastAsia" w:ascii="仿宋_GB2312" w:hAnsi="仿宋_GB2312" w:eastAsia="仿宋_GB2312" w:cs="仿宋_GB2312"/>
        </w:rPr>
        <w:t>优先在安全生产、应急指挥、食品药品、健康医疗、房屋交易、交通旅游、危险物品管理等领域，选择开展一批应用试点，形成以信息归集共享为基础、以信息公示为手段</w:t>
      </w:r>
      <w:r>
        <w:rPr>
          <w:rFonts w:hint="eastAsia" w:ascii="仿宋_GB2312" w:hAnsi="仿宋_GB2312" w:eastAsia="仿宋_GB2312" w:cs="仿宋_GB2312"/>
          <w:lang w:eastAsia="zh-CN"/>
        </w:rPr>
        <w:t>、</w:t>
      </w:r>
      <w:r>
        <w:rPr>
          <w:rFonts w:hint="eastAsia" w:ascii="仿宋_GB2312" w:hAnsi="仿宋_GB2312" w:eastAsia="仿宋_GB2312" w:cs="仿宋_GB2312"/>
        </w:rPr>
        <w:t>以信息监管为核心的大数据监管应用示范，维护公平竞争市场秩序。完善“智慧安监”信息系统工程，推进县级和重点企业安全管理信息系统建设，实现安全监管网格化、信息化、数字化；推进建设福州住房公积金综合信息系统，加强住房保障资金支持；推进“智慧国土”信息系统建设，实现国土资源的全程监管和高效配置，构建全市集数字化、网络化、智能化为一体的“智慧国土”。建设食品安全综合监管及追溯平台，以福建省食品药品“智能监管”一体化平台为主体，建设包括食品行政许可、监管、抽检监测、稽查执法、诚信管理、溯源管理、风险管理、应急管理、公共服务于一体的食品安全监管综合业务系统；大力开展基于大数据的市社会信用体系建设，建成覆盖全市法人、自然人的信用档案，结合信用评估模型，为全社会提供信用信息分析、评价和服务，逐步营造“守信走遍天下、失信寸步难行”的社会诚信氛围。</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3.打造“多规合一”的规划管理体系。</w:t>
      </w:r>
      <w:r>
        <w:rPr>
          <w:rFonts w:hint="eastAsia" w:ascii="仿宋_GB2312" w:hAnsi="仿宋_GB2312" w:eastAsia="仿宋_GB2312" w:cs="仿宋_GB2312"/>
        </w:rPr>
        <w:t>以新区为试点，推进仓山、马尾、长乐、福清、连江等县（市）区现有规划与新区各项规划的衔接。建立全市“多规合一”空间数据库，搭建“多规合一”信息联动平台，加强新区土地、林地、水、滩涂、湿地等资源的集约利用和保护。推进规划审批模式从串联审批向并联审批转变，实现规划信息、建设项目信息、国土资源管理信息的资源共享和业务协同办理。</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4.提升城市网格精细化管理能力。</w:t>
      </w:r>
      <w:r>
        <w:rPr>
          <w:rFonts w:hint="eastAsia" w:ascii="仿宋_GB2312" w:hAnsi="仿宋_GB2312" w:eastAsia="仿宋_GB2312" w:cs="仿宋_GB2312"/>
        </w:rPr>
        <w:t>推进综治、城管、计生、民政、环保、消防等11个部门网格整合，实现网格管理和采集人员的统一招聘、统一培训、统一调配、统一考核。建立全市统一的社会治理体系及网格化管理平台，与省级网格化服务管理信息平台实现数据对接。制定人口、地址、建筑等城市要素的数据采集标准规范，制定统一的网格事件流转处理流程，建立网格信息统一采集，部门依职联动处理的管理模式。</w:t>
      </w:r>
    </w:p>
    <w:p>
      <w:pPr>
        <w:pStyle w:val="4"/>
        <w:ind w:firstLine="643"/>
        <w:rPr>
          <w:rFonts w:ascii="楷体" w:hAnsi="楷体" w:eastAsia="楷体"/>
        </w:rPr>
      </w:pPr>
      <w:bookmarkStart w:id="28" w:name="_Toc479925229"/>
      <w:r>
        <w:rPr>
          <w:rFonts w:hint="eastAsia" w:ascii="楷体" w:hAnsi="楷体" w:eastAsia="楷体"/>
        </w:rPr>
        <w:t>（三）</w:t>
      </w:r>
      <w:r>
        <w:rPr>
          <w:rFonts w:ascii="楷体" w:hAnsi="楷体" w:eastAsia="楷体"/>
        </w:rPr>
        <w:t>完善一体化公共服务体系</w:t>
      </w:r>
      <w:bookmarkEnd w:id="28"/>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制定在线公共服务指南，整合服务资源，面向企业和公众提供一体化在线公共服务，促进公共行政从独立办事向协同治理转变。</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1.规范网上政务服务平台。</w:t>
      </w:r>
      <w:r>
        <w:rPr>
          <w:rFonts w:hint="eastAsia" w:ascii="仿宋_GB2312" w:hAnsi="仿宋_GB2312" w:eastAsia="仿宋_GB2312" w:cs="仿宋_GB2312"/>
        </w:rPr>
        <w:t>加快网站集约化建设，大力推进中国福州门户提升工程及福州市行政服务提升工程，打造建设集约、服务规范、应用便捷、资源共享、覆盖全市的统一门户。2018年底前，依托市政府门户网站、市网上办事大厅、市民公共服务平台，构建一体化的网上政务服务平台，实现市政府门户网站与网上办事大厅、市民公共服务平台前端融合、平台对接和应用兼容，市政府门户网站提供统一的前端展现，建立城市服务统一支付平台，同步完善微博、“e福州”微信公众号及APP等新媒体应用。</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2.强化信息惠民综合服务能力。</w:t>
      </w:r>
      <w:r>
        <w:rPr>
          <w:rFonts w:hint="eastAsia" w:ascii="仿宋_GB2312" w:hAnsi="仿宋_GB2312" w:eastAsia="仿宋_GB2312" w:cs="仿宋_GB2312"/>
        </w:rPr>
        <w:t>健全市、区、街道、社区四级政务服务体系，向市民提供主动式、全程全时、均等便捷的城市公共信息服务。以全市统一身份认证体系为纽带，以全流程电子化办理为目标，逐步构建多渠道多形式相结合的便民服务“一张网”，实现群众网上办事一次认证、多点互联、一网通办。推进市民一卡通应用，延伸现有市民卡功能，进一步拓展市民卡在商业消费、公共事务的应用。以全市统一的电子缴费公共服务平台为支撑，以市民卡为结算载体，在教育、医疗、行政审批和公共服务等领域开展电子缴费服务试点。着力加强移动支付手段建设，推动电子商务与经济社会各领域的融合发展，营造安全、有效的城市“移动支付”平台，推动无现金社会建设。提升12345便民服务热线服务能力，继续推进全市非紧急类热线整合，建立市民诉求统一受理、统一转办、统一审核、统一监督考核模式，实现全市各部门联动办理，建立与110等城市紧急类热线协同联动机制。同时，利用大数据做好政务服务个性化精准推送，为公众提供多渠道、无差别、全业务的便捷服务。</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3.创新政务服务模式。</w:t>
      </w:r>
      <w:r>
        <w:rPr>
          <w:rFonts w:hint="eastAsia" w:ascii="仿宋_GB2312" w:hAnsi="仿宋_GB2312" w:eastAsia="仿宋_GB2312" w:cs="仿宋_GB2312"/>
        </w:rPr>
        <w:t>推进线上线下一体化的管理体系，建立“一号一窗一网”的新型政务服务模式，实现从受理、审批办理到结果反馈的全流程电子化服务。打通各级部门办公系统间的数据和流程连接，支持跨地区、跨部门、跨层级在线联动办公、公文会签、任务督办等；在教育、卫生、社保、养老、住房等领域利用大数据分析群众行为习惯和办事需求，探索主动性、个性化服务。2020年底前，大多数行政审批和服务事项实行主动服务，主动服务成为政务服务的主要提供方式。鼓励市直部门依托现有的审批办理平台构建集证后监管、政务指导为一体的智能化信息服务平台。</w:t>
      </w:r>
    </w:p>
    <w:p>
      <w:pPr>
        <w:pStyle w:val="3"/>
        <w:ind w:firstLine="640"/>
      </w:pPr>
      <w:bookmarkStart w:id="29" w:name="_Toc479925230"/>
      <w:bookmarkStart w:id="30" w:name="_Toc455739609"/>
      <w:r>
        <w:rPr>
          <w:rFonts w:hint="eastAsia"/>
        </w:rPr>
        <w:t>三、大力发展数字网络经济</w:t>
      </w:r>
      <w:bookmarkEnd w:id="29"/>
      <w:bookmarkEnd w:id="30"/>
    </w:p>
    <w:p>
      <w:pPr>
        <w:spacing w:line="576" w:lineRule="exact"/>
        <w:ind w:firstLine="640" w:firstLineChars="200"/>
        <w:rPr>
          <w:rFonts w:hint="eastAsia" w:ascii="仿宋" w:hAnsi="仿宋" w:eastAsia="仿宋"/>
        </w:rPr>
      </w:pPr>
      <w:r>
        <w:rPr>
          <w:rFonts w:hint="eastAsia" w:ascii="仿宋_GB2312" w:hAnsi="仿宋_GB2312" w:eastAsia="仿宋_GB2312" w:cs="仿宋_GB2312"/>
        </w:rPr>
        <w:t>强化创新引领，以信息化支撑和促进创新创业，加快向工业、服务业和农业的渗透融合，大力发展大数据、云计算等产业，支持发展分享经济，打造跨界融合的创新创业格局和信息产业创新发展生态，以信息化驱动产业转型升级。到2020年，基本建成以大数据为核心要素的数字网络经济产业集群，网络经济与实体经济协同互动的发展格局基本形成，经济发展进一步提质增效。</w:t>
      </w:r>
    </w:p>
    <w:p>
      <w:pPr>
        <w:pStyle w:val="4"/>
        <w:ind w:firstLine="643"/>
        <w:rPr>
          <w:rFonts w:hint="eastAsia" w:ascii="楷体" w:hAnsi="楷体" w:eastAsia="楷体"/>
        </w:rPr>
      </w:pPr>
      <w:bookmarkStart w:id="31" w:name="_Toc479925231"/>
      <w:r>
        <w:rPr>
          <w:rFonts w:hint="eastAsia" w:ascii="楷体" w:hAnsi="楷体" w:eastAsia="楷体"/>
        </w:rPr>
        <w:t>（一</w:t>
      </w:r>
      <w:r>
        <w:rPr>
          <w:rFonts w:ascii="楷体" w:hAnsi="楷体" w:eastAsia="楷体"/>
        </w:rPr>
        <w:t>）加快发展物联网产业</w:t>
      </w:r>
      <w:bookmarkEnd w:id="31"/>
    </w:p>
    <w:p>
      <w:pPr>
        <w:tabs>
          <w:tab w:val="left" w:pos="5740"/>
        </w:tabs>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rPr>
        <w:t>加强物联网关键技术攻关和核心产品研发，完善物联网公共支撑平台和技术研发平台。整合视频、位置、环境等物联网平台和感知网络，强化物联网节点数据采集与应用能力建设。实施“物联网+”应用计划，在车联网、船联网、智能家居、人体感知、智慧城市等领域开展规模化集成应用，加快建设物联网国家新型工业化产业示范基地及物联网支撑公共服务平台，完善物联网产业体系，打造千亿级物联网产业集群。</w:t>
      </w:r>
    </w:p>
    <w:p>
      <w:pPr>
        <w:pStyle w:val="4"/>
        <w:ind w:firstLine="643"/>
        <w:rPr>
          <w:rFonts w:ascii="楷体" w:hAnsi="楷体" w:eastAsia="楷体"/>
        </w:rPr>
      </w:pPr>
      <w:bookmarkStart w:id="32" w:name="_Toc479925232"/>
      <w:r>
        <w:rPr>
          <w:rFonts w:hint="eastAsia" w:ascii="楷体" w:hAnsi="楷体" w:eastAsia="楷体"/>
        </w:rPr>
        <w:t>（二</w:t>
      </w:r>
      <w:r>
        <w:rPr>
          <w:rFonts w:ascii="楷体" w:hAnsi="楷体" w:eastAsia="楷体"/>
        </w:rPr>
        <w:t>）</w:t>
      </w:r>
      <w:r>
        <w:rPr>
          <w:rFonts w:hint="eastAsia" w:ascii="楷体" w:hAnsi="楷体" w:eastAsia="楷体"/>
        </w:rPr>
        <w:t>加快建设</w:t>
      </w:r>
      <w:r>
        <w:rPr>
          <w:rFonts w:ascii="楷体" w:hAnsi="楷体" w:eastAsia="楷体"/>
        </w:rPr>
        <w:t>大数据</w:t>
      </w:r>
      <w:r>
        <w:rPr>
          <w:rFonts w:hint="eastAsia" w:ascii="楷体" w:hAnsi="楷体" w:eastAsia="楷体"/>
        </w:rPr>
        <w:t>产业园区</w:t>
      </w:r>
      <w:bookmarkEnd w:id="32"/>
    </w:p>
    <w:p>
      <w:pPr>
        <w:spacing w:line="576" w:lineRule="exact"/>
        <w:ind w:firstLine="640" w:firstLineChars="200"/>
        <w:rPr>
          <w:rFonts w:hint="eastAsia" w:ascii="仿宋_GB2312" w:hAnsi="仿宋_GB2312" w:eastAsia="仿宋_GB2312" w:cs="仿宋_GB2312"/>
        </w:rPr>
      </w:pPr>
      <w:bookmarkStart w:id="33" w:name="_Toc455739610"/>
      <w:r>
        <w:rPr>
          <w:rFonts w:hint="eastAsia" w:ascii="仿宋_GB2312" w:hAnsi="仿宋_GB2312" w:eastAsia="仿宋_GB2312" w:cs="仿宋_GB2312"/>
        </w:rPr>
        <w:t>坚持“集聚发展、成链发展、分块发展、融合创新发展”的原则，合理布局产业板块和服务支撑板块，发展园区建设，为推动中国东南大数据产业发展提供良好的空间载体。到2020年，园区聚集一批具有行业影响力的大数据领军企业，推动大数据与物联网、云计算、人工智能、虚拟现实的融合发展，重点构建健康、VR等特色行业大数据产业体系，建成国内有影响力、极具产业发展特色的中国东南大数据产业园。</w:t>
      </w:r>
    </w:p>
    <w:p>
      <w:pPr>
        <w:pStyle w:val="4"/>
        <w:ind w:firstLine="643"/>
        <w:rPr>
          <w:rFonts w:ascii="楷体" w:hAnsi="楷体" w:eastAsia="楷体"/>
        </w:rPr>
      </w:pPr>
      <w:bookmarkStart w:id="34" w:name="_Toc479925233"/>
      <w:r>
        <w:rPr>
          <w:rFonts w:hint="eastAsia" w:ascii="楷体" w:hAnsi="楷体" w:eastAsia="楷体"/>
        </w:rPr>
        <w:t>（三）信息化与产业融合升级</w:t>
      </w:r>
      <w:bookmarkEnd w:id="33"/>
      <w:bookmarkEnd w:id="34"/>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1．加快实施《中国制造2025》。</w:t>
      </w:r>
      <w:r>
        <w:rPr>
          <w:rFonts w:hint="eastAsia" w:ascii="仿宋_GB2312" w:hAnsi="仿宋_GB2312" w:eastAsia="仿宋_GB2312" w:cs="仿宋_GB2312"/>
        </w:rPr>
        <w:t>将信息技术与制造技术深度融合，推进福州现代工业企业数字化、智能化转型。做到由要素驱动向创新驱动转变</w:t>
      </w:r>
      <w:r>
        <w:rPr>
          <w:rFonts w:hint="eastAsia" w:ascii="仿宋_GB2312" w:hAnsi="仿宋_GB2312" w:eastAsia="仿宋_GB2312" w:cs="仿宋_GB2312"/>
          <w:lang w:eastAsia="zh-CN"/>
        </w:rPr>
        <w:t>、</w:t>
      </w:r>
      <w:r>
        <w:rPr>
          <w:rFonts w:hint="eastAsia" w:ascii="仿宋_GB2312" w:hAnsi="仿宋_GB2312" w:eastAsia="仿宋_GB2312" w:cs="仿宋_GB2312"/>
        </w:rPr>
        <w:t>由低成本竞争优势向质量效益竞争优势转变</w:t>
      </w:r>
      <w:r>
        <w:rPr>
          <w:rFonts w:hint="eastAsia" w:ascii="仿宋_GB2312" w:hAnsi="仿宋_GB2312" w:eastAsia="仿宋_GB2312" w:cs="仿宋_GB2312"/>
          <w:lang w:eastAsia="zh-CN"/>
        </w:rPr>
        <w:t>，</w:t>
      </w:r>
      <w:r>
        <w:rPr>
          <w:rFonts w:hint="eastAsia" w:ascii="仿宋_GB2312" w:hAnsi="仿宋_GB2312" w:eastAsia="仿宋_GB2312" w:cs="仿宋_GB2312"/>
        </w:rPr>
        <w:t>由资源消耗大、污染物排放多的粗放制造向绿色制造转变</w:t>
      </w:r>
      <w:r>
        <w:rPr>
          <w:rFonts w:hint="eastAsia" w:ascii="仿宋_GB2312" w:hAnsi="仿宋_GB2312" w:eastAsia="仿宋_GB2312" w:cs="仿宋_GB2312"/>
          <w:lang w:eastAsia="zh-CN"/>
        </w:rPr>
        <w:t>，</w:t>
      </w:r>
      <w:r>
        <w:rPr>
          <w:rFonts w:hint="eastAsia" w:ascii="仿宋_GB2312" w:hAnsi="仿宋_GB2312" w:eastAsia="仿宋_GB2312" w:cs="仿宋_GB2312"/>
        </w:rPr>
        <w:t>由生产型制造向服务型制造转变。形成一批具有自主知识产权的国际知名品牌。打造中国制造升级版，加快推进福州工业数字化、智能化发展。</w:t>
      </w:r>
    </w:p>
    <w:p>
      <w:pPr>
        <w:spacing w:line="576" w:lineRule="exact"/>
        <w:ind w:firstLine="640"/>
        <w:rPr>
          <w:rFonts w:hint="eastAsia" w:ascii="仿宋_GB2312" w:hAnsi="仿宋_GB2312" w:eastAsia="仿宋_GB2312" w:cs="仿宋_GB2312"/>
          <w:b/>
        </w:rPr>
      </w:pPr>
      <w:r>
        <w:rPr>
          <w:rFonts w:hint="eastAsia" w:ascii="仿宋_GB2312" w:hAnsi="仿宋_GB2312" w:eastAsia="仿宋_GB2312" w:cs="仿宋_GB2312"/>
          <w:b/>
        </w:rPr>
        <w:t>支持机器换工。</w:t>
      </w:r>
      <w:r>
        <w:rPr>
          <w:rFonts w:hint="eastAsia" w:ascii="仿宋_GB2312" w:hAnsi="仿宋_GB2312" w:eastAsia="仿宋_GB2312" w:cs="仿宋_GB2312"/>
        </w:rPr>
        <w:t>在机械制造、纺织鞋帽、轻工食品等劳动密集型产业内组织实施“机器换工”，提高企业产品质量生产稳定性、标准化程度，促进企业劳动生产率和技术贡献率提升；应用数控技术和智能装备对传统生产设备进行智能化改造，建设数字化车间、智能工厂。</w:t>
      </w:r>
    </w:p>
    <w:p>
      <w:pPr>
        <w:spacing w:line="576" w:lineRule="exact"/>
        <w:ind w:firstLine="640"/>
        <w:rPr>
          <w:rFonts w:hint="eastAsia" w:ascii="仿宋_GB2312" w:hAnsi="仿宋_GB2312" w:eastAsia="仿宋_GB2312" w:cs="仿宋_GB2312"/>
          <w:b/>
        </w:rPr>
      </w:pPr>
      <w:r>
        <w:rPr>
          <w:rFonts w:hint="eastAsia" w:ascii="仿宋_GB2312" w:hAnsi="仿宋_GB2312" w:eastAsia="仿宋_GB2312" w:cs="仿宋_GB2312"/>
          <w:b/>
        </w:rPr>
        <w:t>发展智能制造服务业。</w:t>
      </w:r>
      <w:r>
        <w:rPr>
          <w:rFonts w:hint="eastAsia" w:ascii="仿宋_GB2312" w:hAnsi="仿宋_GB2312" w:eastAsia="仿宋_GB2312" w:cs="仿宋_GB2312"/>
        </w:rPr>
        <w:t>支持智能制造装备企业积极向产品设计、工程承包、远程故障诊断、第三方维修维护、协同制造、再制造等多元化、服务化方向发展。</w:t>
      </w:r>
    </w:p>
    <w:p>
      <w:pPr>
        <w:spacing w:line="576" w:lineRule="exact"/>
        <w:ind w:firstLine="640"/>
        <w:rPr>
          <w:rFonts w:hint="eastAsia" w:ascii="仿宋_GB2312" w:hAnsi="仿宋_GB2312" w:eastAsia="仿宋_GB2312" w:cs="仿宋_GB2312"/>
          <w:b/>
        </w:rPr>
      </w:pPr>
      <w:r>
        <w:rPr>
          <w:rFonts w:hint="eastAsia" w:ascii="仿宋_GB2312" w:hAnsi="仿宋_GB2312" w:eastAsia="仿宋_GB2312" w:cs="仿宋_GB2312"/>
          <w:b/>
        </w:rPr>
        <w:t>推动智能应用。</w:t>
      </w:r>
      <w:r>
        <w:rPr>
          <w:rFonts w:hint="eastAsia" w:ascii="仿宋_GB2312" w:hAnsi="仿宋_GB2312" w:eastAsia="仿宋_GB2312" w:cs="仿宋_GB2312"/>
        </w:rPr>
        <w:t>立足突破和掌握智能硬件操作系统、核心元器件、人机交互技术、互联网开放平台、应用开发工具等产业链关键环节，以“互联网+智能硬件”发展模式推动新应用。</w:t>
      </w:r>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2．推动跨界融合，助力福州产业转型。</w:t>
      </w:r>
      <w:r>
        <w:rPr>
          <w:rFonts w:hint="eastAsia" w:ascii="仿宋_GB2312" w:hAnsi="仿宋_GB2312" w:eastAsia="仿宋_GB2312" w:cs="仿宋_GB2312"/>
        </w:rPr>
        <w:t>推动生产性服务业、现代金融、电子商务、物流、文化、旅游等重点服务业创新服务内容和模式，实现提质增效。</w:t>
      </w:r>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规范发展互联网金融。</w:t>
      </w:r>
      <w:r>
        <w:rPr>
          <w:rFonts w:hint="eastAsia" w:ascii="仿宋_GB2312" w:hAnsi="仿宋_GB2312" w:eastAsia="仿宋_GB2312" w:cs="仿宋_GB2312"/>
        </w:rPr>
        <w:t>支持市内金融机构开展互联网金融业务，推动金融业和互联网企业跨界发展。鼓励符合条件的企业申请第三方支付牌照尤其是网络支付牌照，支持持牌机构与金融机构开展在线支付、跨境支付和移动支付等业务，规范发展P2P网贷和众筹融资。鼓励金融机构建设网络银行、网络保险、网络证券和网络基金销售等创新型互联网平台，整合信息流和资金流。</w:t>
      </w:r>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打通流通领域信息共享。</w:t>
      </w:r>
      <w:r>
        <w:rPr>
          <w:rFonts w:hint="eastAsia" w:ascii="仿宋_GB2312" w:hAnsi="仿宋_GB2312" w:eastAsia="仿宋_GB2312" w:cs="仿宋_GB2312"/>
        </w:rPr>
        <w:t>推进物流信息平台提升工程，面向物流相关企业，提供物流网络及运营的数据分析、数据挖掘及可视化服务，对物流产业各类资源进行高效配置，实现物流产业各个环节的信息共享和协同运作。</w:t>
      </w:r>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完善电子商务监测体系。</w:t>
      </w:r>
      <w:r>
        <w:rPr>
          <w:rFonts w:hint="eastAsia" w:ascii="仿宋_GB2312" w:hAnsi="仿宋_GB2312" w:eastAsia="仿宋_GB2312" w:cs="仿宋_GB2312"/>
        </w:rPr>
        <w:t>汇聚信息资源和服务资源，完善电子商务信息监测体系，全局展示全市电子商务发展的整体情况，实现立体化、多视角的数据挖掘分析，建设电商物流公共信息平台工程，进一步完善电子商务服务支撑，促进电子商务协同、创新发展。</w:t>
      </w:r>
    </w:p>
    <w:p>
      <w:pPr>
        <w:tabs>
          <w:tab w:val="left" w:pos="5740"/>
        </w:tabs>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培育智慧家庭创新应用。</w:t>
      </w:r>
      <w:r>
        <w:rPr>
          <w:rFonts w:hint="eastAsia" w:ascii="仿宋_GB2312" w:hAnsi="仿宋_GB2312" w:eastAsia="仿宋_GB2312" w:cs="仿宋_GB2312"/>
        </w:rPr>
        <w:t>融合工业控制系统、信息安全、集成电路设计以及应用软件等多产业发展，结合云计算、大数据等热点技术，加快建设数字家庭示范小区（村），打造全产业链条，推动数字家庭产业各环节协同发展，积极推动建成特色鲜明、持续创新能力强的特色应用产品，打造一批国家级信息消费创新应用示范项目。</w:t>
      </w:r>
    </w:p>
    <w:p>
      <w:pPr>
        <w:tabs>
          <w:tab w:val="left" w:pos="5740"/>
        </w:tabs>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b/>
        </w:rPr>
        <w:t>提升旅游行业管理和服务智慧化水平。</w:t>
      </w:r>
      <w:r>
        <w:rPr>
          <w:rFonts w:hint="eastAsia" w:ascii="仿宋_GB2312" w:hAnsi="仿宋_GB2312" w:eastAsia="仿宋_GB2312" w:cs="仿宋_GB2312"/>
        </w:rPr>
        <w:t>完善智慧旅游基础设施建设，加快景区、酒店信息化改造，完善电子信息屏等基础设施，推进随身游APP开发应用，开通一卡通旅游功能，提升旅游服务信息化水平。推进景区综合管理系统，实现对游客的精确、动态管理，提升景区应急管理能力。推进“互联网+”旅游，加强与旅游OTA企业（在线旅游社）电子商务平台的对接，提高旅游行业营销管理、业务综合管理和运营能力。</w:t>
      </w:r>
    </w:p>
    <w:p>
      <w:pPr>
        <w:pStyle w:val="4"/>
        <w:ind w:firstLine="643"/>
        <w:rPr>
          <w:rFonts w:ascii="楷体" w:hAnsi="楷体" w:eastAsia="楷体"/>
        </w:rPr>
      </w:pPr>
      <w:bookmarkStart w:id="35" w:name="_Toc479925234"/>
      <w:bookmarkStart w:id="36" w:name="_Toc455739611"/>
      <w:r>
        <w:rPr>
          <w:rFonts w:hint="eastAsia" w:ascii="楷体" w:hAnsi="楷体" w:eastAsia="楷体"/>
        </w:rPr>
        <w:t>（四）推动信息产业创新发展</w:t>
      </w:r>
      <w:bookmarkEnd w:id="35"/>
      <w:bookmarkEnd w:id="36"/>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1．推进大数据、云计算产业发展。</w:t>
      </w:r>
      <w:r>
        <w:rPr>
          <w:rFonts w:hint="eastAsia" w:ascii="仿宋_GB2312" w:hAnsi="仿宋_GB2312" w:eastAsia="仿宋_GB2312" w:cs="仿宋_GB2312"/>
        </w:rPr>
        <w:t>加强大数据、云计算等核心技术攻关，重点突破海量数据存储与管理、数据清洗、数据可视化、分析挖掘和人工智能等核心技术，支持相关软硬件产品发展。</w:t>
      </w:r>
    </w:p>
    <w:p>
      <w:pPr>
        <w:spacing w:line="576" w:lineRule="exact"/>
        <w:ind w:firstLine="643" w:firstLineChars="200"/>
        <w:rPr>
          <w:rFonts w:hint="eastAsia" w:ascii="仿宋_GB2312" w:hAnsi="仿宋_GB2312" w:eastAsia="仿宋_GB2312" w:cs="仿宋_GB2312"/>
          <w:b/>
        </w:rPr>
      </w:pPr>
      <w:r>
        <w:rPr>
          <w:rFonts w:hint="eastAsia" w:ascii="仿宋_GB2312" w:hAnsi="仿宋_GB2312" w:eastAsia="仿宋_GB2312" w:cs="仿宋_GB2312"/>
          <w:b/>
        </w:rPr>
        <w:t>2．培育信息产业发展新增长点。</w:t>
      </w:r>
      <w:r>
        <w:rPr>
          <w:rFonts w:hint="eastAsia" w:ascii="仿宋_GB2312" w:hAnsi="仿宋_GB2312" w:eastAsia="仿宋_GB2312" w:cs="仿宋_GB2312"/>
        </w:rPr>
        <w:t>推进基于互联网、大数据的产业组织创新、商业模式创新和业态创新，培育“互联网+”生态体系，发展分享经济，扩大产业增长空间。</w:t>
      </w:r>
    </w:p>
    <w:p>
      <w:pPr>
        <w:spacing w:line="576" w:lineRule="exact"/>
        <w:ind w:firstLine="643" w:firstLineChars="200"/>
        <w:rPr>
          <w:rFonts w:ascii="仿宋" w:hAnsi="仿宋" w:eastAsia="仿宋"/>
        </w:rPr>
      </w:pPr>
      <w:r>
        <w:rPr>
          <w:rFonts w:hint="eastAsia" w:ascii="仿宋_GB2312" w:hAnsi="仿宋_GB2312" w:eastAsia="仿宋_GB2312" w:cs="仿宋_GB2312"/>
          <w:b/>
        </w:rPr>
        <w:t>3．积极探索数据开放与数据交易。</w:t>
      </w:r>
      <w:r>
        <w:rPr>
          <w:rFonts w:hint="eastAsia" w:ascii="仿宋_GB2312" w:hAnsi="仿宋_GB2312" w:eastAsia="仿宋_GB2312" w:cs="仿宋_GB2312"/>
        </w:rPr>
        <w:t>以信息资源开放共享体系为依据，分批分类开放政府数据，推动“大众创业、万众创新”；借鉴国内外数据交易所建设先进经验，结合福州市情，积极探索和建立面向东南地区的区域数据交易中心。</w:t>
      </w:r>
    </w:p>
    <w:p>
      <w:pPr>
        <w:pStyle w:val="3"/>
        <w:ind w:firstLine="640"/>
        <w:rPr>
          <w:color w:val="000000"/>
        </w:rPr>
      </w:pPr>
      <w:bookmarkStart w:id="37" w:name="_Toc455739613"/>
      <w:bookmarkStart w:id="38" w:name="_Toc479925235"/>
      <w:r>
        <w:rPr>
          <w:rFonts w:hint="eastAsia"/>
          <w:color w:val="000000"/>
        </w:rPr>
        <w:t>四、深入实施信息惠民</w:t>
      </w:r>
      <w:bookmarkEnd w:id="37"/>
      <w:r>
        <w:rPr>
          <w:rFonts w:hint="eastAsia"/>
          <w:color w:val="000000"/>
        </w:rPr>
        <w:t>工程</w:t>
      </w:r>
      <w:bookmarkEnd w:id="38"/>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综合利用移动互联网、云计算、大数据等技术，加快整合民生领域服务内容，提高教育、医疗、人社、养老等服务的智能化水平，拓展信息惠民的深度与广度，促进城乡公共服务均等化、普惠化，使全体人民有更多获得感。到2020年，“全时全程”的统一民生服务体系全面建成，“事事网办”的服务模式基本形成。</w:t>
      </w:r>
    </w:p>
    <w:p>
      <w:pPr>
        <w:pStyle w:val="4"/>
        <w:ind w:firstLine="643"/>
        <w:rPr>
          <w:rFonts w:ascii="楷体" w:hAnsi="楷体" w:eastAsia="楷体"/>
        </w:rPr>
      </w:pPr>
      <w:bookmarkStart w:id="39" w:name="_Toc479925236"/>
      <w:bookmarkStart w:id="40" w:name="_Toc455739614"/>
      <w:r>
        <w:rPr>
          <w:rFonts w:hint="eastAsia" w:ascii="楷体" w:hAnsi="楷体" w:eastAsia="楷体"/>
        </w:rPr>
        <w:t>（一）提高健康服务和卫生管理水平</w:t>
      </w:r>
      <w:bookmarkEnd w:id="39"/>
      <w:bookmarkStart w:id="41" w:name="_Toc474827384"/>
      <w:bookmarkEnd w:id="41"/>
      <w:bookmarkStart w:id="42" w:name="_Toc474831218"/>
      <w:bookmarkEnd w:id="42"/>
      <w:bookmarkStart w:id="43" w:name="_Toc474809085"/>
      <w:bookmarkEnd w:id="43"/>
      <w:bookmarkStart w:id="44" w:name="_Toc474827380"/>
      <w:bookmarkEnd w:id="44"/>
      <w:bookmarkStart w:id="45" w:name="_Toc474831214"/>
      <w:bookmarkEnd w:id="45"/>
      <w:bookmarkStart w:id="46" w:name="_Toc474809089"/>
      <w:bookmarkEnd w:id="46"/>
      <w:bookmarkStart w:id="47" w:name="_Toc474809087"/>
      <w:bookmarkEnd w:id="47"/>
      <w:bookmarkStart w:id="48" w:name="_Toc474831216"/>
      <w:bookmarkEnd w:id="48"/>
      <w:bookmarkStart w:id="49" w:name="_Toc474827382"/>
      <w:bookmarkEnd w:id="49"/>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全面建设互通共享的人口健康信息平台，强化公共卫生、计划生育、医疗服务、医疗保障、药品供应、综合管理等应用信息系统数据采集、集成共享和业务协同。全面推进家庭医生式签约健康服务，将社区的基本公共卫生服务与医院的临床诊疗服务相结合，构建福州市家庭医生健康服务平台。建成福州市分级诊疗与远程医疗协同平台，实现基层首诊、双向转诊、急慢分治、上下联动的分级诊疗体系，实现优质医疗资源共享。推动医疗服务向街道（乡镇）、社区（村）延伸，提升社区卫生管理和医疗服务水平。推进区域公共卫生信息平台、市卫生信息系统区域影像信息及影像大数据平台、市区域电子病历应用及共享平台建设，促进电子病历、医疗影像等信息在全市医疗机构间共享。建设市互联网医疗服务平台（互联网医院），发挥优质医疗资源的引领作用，整合线上线下资源，构建互联网医院样板。</w:t>
      </w:r>
    </w:p>
    <w:p>
      <w:pPr>
        <w:pStyle w:val="4"/>
        <w:ind w:firstLine="643"/>
        <w:rPr>
          <w:rFonts w:hint="eastAsia" w:ascii="楷体" w:hAnsi="楷体" w:eastAsia="楷体"/>
        </w:rPr>
      </w:pPr>
      <w:bookmarkStart w:id="50" w:name="_Toc479925237"/>
      <w:r>
        <w:rPr>
          <w:rFonts w:hint="eastAsia" w:ascii="楷体" w:hAnsi="楷体" w:eastAsia="楷体"/>
        </w:rPr>
        <w:t>（二</w:t>
      </w:r>
      <w:r>
        <w:rPr>
          <w:rFonts w:ascii="楷体" w:hAnsi="楷体" w:eastAsia="楷体"/>
        </w:rPr>
        <w:t>）推进教育管理和教学服务智慧化</w:t>
      </w:r>
      <w:bookmarkEnd w:id="50"/>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完善学前教育、普通教育、职业教育、高等教育、继续教育和特殊教育的网络培训及在线教育服务体系，实现现代化教育教学模式创新。深入推进“三通两平台工程”，建立数字教育资源公共服务体系。积极推动“名师课堂”“名校课堂”“专递课堂”在线教育建设，不断扩大优质教育资源覆盖面。推进智慧校园推进工程，建设推广互动教学、智慧教学新模式的应用，促进教育服务供给方式、就学和管理模式的变革。强化对校车安全、校园内部突发事件的实时监控与处理，保障校园安全；完善校车接送服务外包及监管体系，减少家长接送学生的负担。</w:t>
      </w:r>
    </w:p>
    <w:p>
      <w:pPr>
        <w:pStyle w:val="4"/>
        <w:ind w:firstLine="643"/>
        <w:rPr>
          <w:rFonts w:hint="eastAsia" w:ascii="楷体" w:hAnsi="楷体" w:eastAsia="楷体"/>
        </w:rPr>
      </w:pPr>
      <w:bookmarkStart w:id="51" w:name="_Toc479925238"/>
      <w:r>
        <w:rPr>
          <w:rFonts w:hint="eastAsia" w:ascii="楷体" w:hAnsi="楷体" w:eastAsia="楷体"/>
        </w:rPr>
        <w:t>（三</w:t>
      </w:r>
      <w:r>
        <w:rPr>
          <w:rFonts w:ascii="楷体" w:hAnsi="楷体" w:eastAsia="楷体"/>
        </w:rPr>
        <w:t>）完善社会保障服务体系</w:t>
      </w:r>
      <w:bookmarkEnd w:id="51"/>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推进人力资源和社会保障业务档案信息化，通过金保工程二期建设，实现业务档案的规范化、自动化管理和信息的便捷共享。通过大数据分析挖掘，为市民提供个性化服务，为完善社保、医疗等政策体系提供数据支撑。积极开发社保领域大数据应用，完善医保数据挖掘和智能监控功能，逐步实现稽核监管的标准化、精细化和智能化。加快建立跨部门、多层次、信息共享的救助申请家庭经济状况核对机制，健全完善工作机构和信息核对平台，加强最低生活保障与其他社会救助制度的有效衔接。建设全民社会保障移动应用，推动自助服务终端向街道（乡镇）、社区（村）延伸。</w:t>
      </w:r>
    </w:p>
    <w:p>
      <w:pPr>
        <w:pStyle w:val="4"/>
        <w:ind w:firstLine="643"/>
        <w:rPr>
          <w:rFonts w:hint="eastAsia" w:ascii="楷体" w:hAnsi="楷体" w:eastAsia="楷体"/>
        </w:rPr>
      </w:pPr>
      <w:bookmarkStart w:id="52" w:name="_Toc479925239"/>
      <w:r>
        <w:rPr>
          <w:rFonts w:hint="eastAsia" w:ascii="楷体" w:hAnsi="楷体" w:eastAsia="楷体"/>
        </w:rPr>
        <w:t>（四）</w:t>
      </w:r>
      <w:r>
        <w:rPr>
          <w:rFonts w:ascii="楷体" w:hAnsi="楷体" w:eastAsia="楷体"/>
        </w:rPr>
        <w:t>推进文体信息惠民服务</w:t>
      </w:r>
      <w:bookmarkEnd w:id="52"/>
    </w:p>
    <w:p>
      <w:pPr>
        <w:spacing w:line="576" w:lineRule="exact"/>
        <w:ind w:firstLine="640" w:firstLineChars="200"/>
        <w:rPr>
          <w:rFonts w:ascii="仿宋" w:hAnsi="仿宋" w:eastAsia="仿宋"/>
        </w:rPr>
      </w:pPr>
      <w:r>
        <w:rPr>
          <w:rFonts w:hint="eastAsia" w:ascii="仿宋_GB2312" w:hAnsi="仿宋_GB2312" w:eastAsia="仿宋_GB2312" w:cs="仿宋_GB2312"/>
        </w:rPr>
        <w:t>推进闽都文化数字信息技术自主研发与产业化，以“互联网+”思维创新拓展文化交流渠道和方式，以闽都文化为纽带，持续深化榕台、榕港、闽籍侨民文化交流，丰富民间交流方式，创新文化交流合作体制机制。建设福州市旅游电子信息系统，实现对福州市所有旅行社、导游员的电子化管理，探索福州旅游电子信息系统社会化运营合作机制。建立公共数字文化服务覆盖工程，有效整合不同部门公共文化服务资源和项目。实施海峡图书馆信息化及智能化建设项目，汇聚福州市地方特色数字资源库、海峡数字资源分中心和社区图书馆资源。整合大中小型公共体育场馆信息资源，构建全民健身资源库，提高全民健身服务水平。</w:t>
      </w:r>
    </w:p>
    <w:p>
      <w:pPr>
        <w:pStyle w:val="4"/>
        <w:ind w:firstLine="643"/>
        <w:rPr>
          <w:rFonts w:ascii="楷体" w:hAnsi="楷体" w:eastAsia="楷体"/>
        </w:rPr>
      </w:pPr>
      <w:bookmarkStart w:id="53" w:name="_Toc479925240"/>
      <w:r>
        <w:rPr>
          <w:rFonts w:hint="eastAsia" w:ascii="楷体" w:hAnsi="楷体" w:eastAsia="楷体"/>
        </w:rPr>
        <w:t>（五）</w:t>
      </w:r>
      <w:r>
        <w:rPr>
          <w:rFonts w:ascii="楷体" w:hAnsi="楷体" w:eastAsia="楷体"/>
        </w:rPr>
        <w:t>构建新型生态环境治理体系</w:t>
      </w:r>
      <w:bookmarkEnd w:id="53"/>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健全环境信息公开制度。建设生态环境监测网络，大力推进福州市智慧公园、市排水设施信息化平台、市城区防涝与水系调度管理平台、福州气象信息网络保障系统、福州名城保护管理平台等项目，实施天地一体化的生态环境监测工程，实现污染源、污染物、生态环境全时监测，构建资源环境承载能力监测预警机制，建立海域、陆域、岸线和产业“四位一体”统筹联动的环境管理体系。推动绿色低碳循环产业发展。利用信息技术提高生态环境修复能力，生态环境持续保持全国前列。</w:t>
      </w:r>
    </w:p>
    <w:bookmarkEnd w:id="40"/>
    <w:p>
      <w:pPr>
        <w:pStyle w:val="3"/>
        <w:ind w:firstLine="640"/>
      </w:pPr>
      <w:bookmarkStart w:id="54" w:name="_Toc455739606"/>
      <w:bookmarkStart w:id="55" w:name="_Toc479925241"/>
      <w:r>
        <w:rPr>
          <w:rFonts w:hint="eastAsia"/>
        </w:rPr>
        <w:t>五、推动城市大数据应用</w:t>
      </w:r>
      <w:bookmarkEnd w:id="54"/>
      <w:bookmarkEnd w:id="55"/>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围绕政府数据“聚、通、用”，加大体制机制改革创新力度，促进数据共建、数据互通、数据分享，为深入挖掘大数据政用、民用、商用价值奠定基础，真正将“数据资源”转化为“数据资产”。到2020年，政府信息资源汇聚共享和开放开发格局全面形成，重点领域大数据应用全面铺开，基本形成大数据应用体系和能力，有效推动产业转型升级、优化民生服务，推动政府治理能力现代化。</w:t>
      </w:r>
    </w:p>
    <w:p>
      <w:pPr>
        <w:pStyle w:val="4"/>
        <w:ind w:firstLine="643"/>
        <w:rPr>
          <w:rFonts w:hint="eastAsia" w:ascii="楷体" w:hAnsi="楷体" w:eastAsia="楷体"/>
        </w:rPr>
      </w:pPr>
      <w:bookmarkStart w:id="56" w:name="_Toc479925242"/>
      <w:r>
        <w:rPr>
          <w:rFonts w:hint="eastAsia" w:ascii="楷体" w:hAnsi="楷体" w:eastAsia="楷体"/>
        </w:rPr>
        <w:t>（一</w:t>
      </w:r>
      <w:r>
        <w:rPr>
          <w:rFonts w:ascii="楷体" w:hAnsi="楷体" w:eastAsia="楷体"/>
        </w:rPr>
        <w:t>）</w:t>
      </w:r>
      <w:r>
        <w:rPr>
          <w:rFonts w:hint="eastAsia" w:ascii="楷体" w:hAnsi="楷体" w:eastAsia="楷体"/>
        </w:rPr>
        <w:t>强化数据资源</w:t>
      </w:r>
      <w:r>
        <w:rPr>
          <w:rFonts w:ascii="楷体" w:hAnsi="楷体" w:eastAsia="楷体"/>
        </w:rPr>
        <w:t>规划</w:t>
      </w:r>
      <w:r>
        <w:rPr>
          <w:rFonts w:hint="eastAsia" w:ascii="楷体" w:hAnsi="楷体" w:eastAsia="楷体"/>
        </w:rPr>
        <w:t>建设</w:t>
      </w:r>
      <w:bookmarkEnd w:id="56"/>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1.创新信息资源共享管理机制。</w:t>
      </w:r>
      <w:r>
        <w:rPr>
          <w:rFonts w:hint="eastAsia" w:ascii="仿宋_GB2312" w:hAnsi="仿宋_GB2312" w:eastAsia="仿宋_GB2312" w:cs="仿宋_GB2312"/>
        </w:rPr>
        <w:t>探索建立有利于推动大数据发展的政策法规，加快建设统一技术标准、评价标准的标准化体系，推进各部门业务系统与数据服务总线对接，构建跨部门、跨层级的数据应用格局。建立完善以汇聚数据为基础的部门间数据共享应用机制，大力推进部门通过政务数据汇聚平台获取共享数据，促进业务协同和流程优化，减少数据重复采集，减轻群众和基层信息负担。</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建立大数据采集汇聚机制。</w:t>
      </w:r>
      <w:r>
        <w:rPr>
          <w:rFonts w:hint="eastAsia" w:ascii="仿宋_GB2312" w:hAnsi="仿宋_GB2312" w:eastAsia="仿宋_GB2312" w:cs="仿宋_GB2312"/>
        </w:rPr>
        <w:t>开辟多种数据采集渠道，综合政府数据汇聚、网络搜取、自愿提供、有偿购买、传感收集等方式建立自动、精准、实时的大数据采集体系。加强对企业信息系统规划与大数据采集需求的融合指导，鼓励制造业企业和商业机构加强对生产经营活动中数据的采集，推动无线射频识别（RFID）、近距离无线通信（NFC）、二维码、环境监测、人体传感设备的普及应用,拓宽数据采集渠道。</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推进企业数据资源的收集与分析。</w:t>
      </w:r>
      <w:r>
        <w:rPr>
          <w:rFonts w:hint="eastAsia" w:ascii="仿宋_GB2312" w:hAnsi="仿宋_GB2312" w:eastAsia="仿宋_GB2312" w:cs="仿宋_GB2312"/>
        </w:rPr>
        <w:t>建立全市企业数据采集网络，综合政府、社会、互联网等不同渠道数据，建设全市宏观经济管理大数据库。针对产业集聚度、行业发展状态、生产要素区域分布和流动、中小微企业竞争力等专题开展大数据分析，为政府决策、企业经营等提供经济运行分析、趋势预测等服务。</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构建跨界的大数据资源积累机制。</w:t>
      </w:r>
      <w:r>
        <w:rPr>
          <w:rFonts w:hint="eastAsia" w:ascii="仿宋_GB2312" w:hAnsi="仿宋_GB2312" w:eastAsia="仿宋_GB2312" w:cs="仿宋_GB2312"/>
        </w:rPr>
        <w:t>建立政府、企业、社会之间大数据互助共享协作体制机制，创造条件、鼓励推动社会机构和公众对政府公共数据与社会商务数据进行整合、分析，构造完整的数据链，挖掘新的价值，形成政府公共数据与社会商务数据之间的互动。</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2. 建设统一的政务数据汇聚共享和开放平台。</w:t>
      </w:r>
      <w:r>
        <w:rPr>
          <w:rFonts w:hint="eastAsia" w:ascii="仿宋_GB2312" w:hAnsi="仿宋_GB2312" w:eastAsia="仿宋_GB2312" w:cs="仿宋_GB2312"/>
        </w:rPr>
        <w:t>编制福州市政务数据资源目录，汇聚政务数据建设全市统一的政务数据汇聚共享平台；编制福州市政务数据开放目录，建设全市统一的政务数据开放平台，向公民、法人或者其他组织提供开放政务数据的查询、下载、应用接口等服务，鼓励公民、法人和其他组织对开放数据进行研究、分析、挖掘，开展大数据产业和创新应用；实施应用身份统一认证，实现开放数据可追溯。各级各部门依托全市统一的开放平台向社会开放政务数据，保障数据权威性和安全性。</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3.稳步有序向社会开放数据。</w:t>
      </w:r>
      <w:r>
        <w:rPr>
          <w:rFonts w:hint="eastAsia" w:ascii="仿宋_GB2312" w:hAnsi="仿宋_GB2312" w:eastAsia="仿宋_GB2312" w:cs="仿宋_GB2312"/>
        </w:rPr>
        <w:t>制定实施政府数据开放标准和实施方案，依托政府数据开放平台，公布数据开放目录及普遍开放的数据集，优先推动医疗、卫生、环境、交通、旅游、文化、质量、气象等政府数据向社会开放，并不断扩大政务数据的开放范围，提高数据开放质量，带动社会公众开展大数据增值性、公益性开发和创新应用，充分释放数据红利，激发大众创业、万众创新活力。扶持一批创业者开发一批有特色的大数据产品或互联网应用，丰富数据资源和数据产品。</w:t>
      </w:r>
    </w:p>
    <w:p>
      <w:pPr>
        <w:pStyle w:val="4"/>
        <w:ind w:firstLine="643"/>
        <w:rPr>
          <w:rFonts w:hint="eastAsia" w:ascii="楷体" w:hAnsi="楷体" w:eastAsia="楷体"/>
        </w:rPr>
      </w:pPr>
      <w:bookmarkStart w:id="57" w:name="_Toc479925243"/>
      <w:r>
        <w:rPr>
          <w:rFonts w:hint="eastAsia" w:ascii="楷体" w:hAnsi="楷体" w:eastAsia="楷体"/>
        </w:rPr>
        <w:t>（二）推进国家</w:t>
      </w:r>
      <w:r>
        <w:rPr>
          <w:rFonts w:ascii="楷体" w:hAnsi="楷体" w:eastAsia="楷体"/>
        </w:rPr>
        <w:t>新型城镇化大数据库</w:t>
      </w:r>
      <w:r>
        <w:rPr>
          <w:rFonts w:hint="eastAsia" w:ascii="楷体" w:hAnsi="楷体" w:eastAsia="楷体"/>
        </w:rPr>
        <w:t>建设</w:t>
      </w:r>
      <w:bookmarkEnd w:id="57"/>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开展联合建设“新型城镇化大数据示范基地”“新型城镇化大数据联合实验室”等工作，积极推动相关政策法规研究和机制创新，加快数据安全、数据共享、数据交换等方面的创新探索。</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1.积极推进建设新型城镇化大数据共享开放平台。</w:t>
      </w:r>
      <w:r>
        <w:rPr>
          <w:rFonts w:hint="eastAsia" w:ascii="仿宋_GB2312" w:hAnsi="仿宋_GB2312" w:eastAsia="仿宋_GB2312" w:cs="仿宋_GB2312"/>
        </w:rPr>
        <w:t>实现多源数据融合，优先推动人口信息、统计监测、城乡规划建设、社会保障、生态环保、公共安全等领域的数据有序开放；建立新型城镇化数据标准及规范体系，共同开展大数据库及数据标准、规范研究编制工作，推动上下各层面数据的衔接贯通，提高数据质量和可用性。</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2.培育新型城镇化大数据应用。</w:t>
      </w:r>
      <w:r>
        <w:rPr>
          <w:rFonts w:hint="eastAsia" w:ascii="仿宋_GB2312" w:hAnsi="仿宋_GB2312" w:eastAsia="仿宋_GB2312" w:cs="仿宋_GB2312"/>
        </w:rPr>
        <w:t>打造一批满足新型城镇化发展需求的产品、系统和解决方案，重点选取农业转移人口市民化、城市群建设、智慧城乡体系、公共服务与数字生活、城市绿色发展等重点领域。国家新型城镇化大数据库建设从数据融合升级至数据联勤，将面向新型城镇化效能优化、监测评估、趋势判断、预警预报等领域全面融合政府大数据和商业大数据，推动分类行业资源向社会管理数据资源的整体形态转变。</w:t>
      </w:r>
    </w:p>
    <w:p>
      <w:pPr>
        <w:pStyle w:val="4"/>
        <w:ind w:firstLine="643"/>
        <w:rPr>
          <w:rFonts w:ascii="楷体" w:hAnsi="楷体" w:eastAsia="楷体"/>
        </w:rPr>
      </w:pPr>
      <w:bookmarkStart w:id="58" w:name="_Toc479925244"/>
      <w:r>
        <w:rPr>
          <w:rFonts w:hint="eastAsia" w:ascii="楷体" w:hAnsi="楷体" w:eastAsia="楷体"/>
        </w:rPr>
        <w:t>（三）建设健康医疗大数据中心及产业园试点工程</w:t>
      </w:r>
      <w:bookmarkEnd w:id="58"/>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深入践行“数字福建”发展战略，在福州滨海新城大数据产业园建设国家健康医疗大数据中心与产业园试点工程，积极推动健康医疗大数据的融合共享和开放应用，努力探索健康医疗大数据中心的福州模式。健康医疗大数据中心与产业园建设国家试点工程按照“建设健康医疗大数据中心、研发创新应用、构筑产业生态圈”三大任务推进。“建设健康医疗大数据中心”包括完善大数据信息化基础设施、建设大数据服务运营平台、制定大数据标准与安全规范、建立大数据管理机制；“研发创新应用”包括夯实基础应用、拓展创新应用、“互联网+健康医疗”服务相关应用、“健康福州”品牌应用；“构筑产业生态圈”包括组建健康医疗大数据产业联盟、建设创新创业孵化基地、建设健康城市战略运营基地、建设国家健康医疗大数据展示中心。</w:t>
      </w:r>
    </w:p>
    <w:p>
      <w:pPr>
        <w:pStyle w:val="4"/>
        <w:ind w:firstLine="643"/>
        <w:rPr>
          <w:rFonts w:hint="eastAsia" w:ascii="楷体" w:hAnsi="楷体" w:eastAsia="楷体"/>
        </w:rPr>
      </w:pPr>
      <w:bookmarkStart w:id="59" w:name="_Toc479925245"/>
      <w:r>
        <w:rPr>
          <w:rFonts w:hint="eastAsia" w:ascii="楷体" w:hAnsi="楷体" w:eastAsia="楷体"/>
        </w:rPr>
        <w:t>（四</w:t>
      </w:r>
      <w:r>
        <w:rPr>
          <w:rFonts w:ascii="楷体" w:hAnsi="楷体" w:eastAsia="楷体"/>
        </w:rPr>
        <w:t>）推动大数据技术创新</w:t>
      </w:r>
      <w:bookmarkEnd w:id="59"/>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依托高校科研院所，建立融合数理科学、计算机科学、社会科学及其他应用学科的大数据学科体系。面向网络、安全、金融、生物组学、健康医疗等重点需求，探索建立数据科学驱动行业应用的模型。布局大数据前瞻性研究，通过政产学研相结合的协同创新和基于开源社区的开放创新，积极探索研究大数据理论、算法和关键应用技术。依托省内龙头企业和产业园区，建立大数据研发创新平台，加强数据存储、清洗挖掘分析、数据可视化、数据安全与隐私保护、自然语言理解、机器学习、深度学习等大数据技术创新，初步形成大数据技术体系。加快建设大数据标准检测、技术支持、认证认可等质量技术基础，加快培育大数据开源社区、程序员协会等民间组织。建立大数据应用和产业创新发展联盟以及相关技术标准工作组。</w:t>
      </w:r>
    </w:p>
    <w:p>
      <w:pPr>
        <w:pStyle w:val="4"/>
        <w:ind w:firstLine="643"/>
        <w:rPr>
          <w:rFonts w:hint="eastAsia" w:ascii="楷体" w:hAnsi="楷体" w:eastAsia="楷体"/>
        </w:rPr>
      </w:pPr>
      <w:bookmarkStart w:id="60" w:name="_Toc479925246"/>
      <w:r>
        <w:rPr>
          <w:rFonts w:hint="eastAsia" w:ascii="楷体" w:hAnsi="楷体" w:eastAsia="楷体"/>
        </w:rPr>
        <w:t>（五）培育</w:t>
      </w:r>
      <w:r>
        <w:rPr>
          <w:rFonts w:ascii="楷体" w:hAnsi="楷体" w:eastAsia="楷体"/>
        </w:rPr>
        <w:t>大数据示范应用</w:t>
      </w:r>
      <w:bookmarkEnd w:id="60"/>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1.鼓励大数据在政务领域的应用创新。</w:t>
      </w:r>
      <w:r>
        <w:rPr>
          <w:rFonts w:hint="eastAsia" w:ascii="仿宋_GB2312" w:hAnsi="仿宋_GB2312" w:eastAsia="仿宋_GB2312" w:cs="仿宋_GB2312"/>
        </w:rPr>
        <w:t>持续推进政务大数据平台建设，完善人口、法人、自然资源和空间地理基础信息库等基础数据资源，实现“一人一档、一组一档、一物一档、一事一档、一城一档”应用，提升政府管理和公共服务水平。建设福州市政务服务大数据平台，为各部门开展业务管理、统计分析、辅助决策以及在公共安全防范等领域提供支撑,促进大数据与云计算的融合，使其更好地服务于人民群众，让数据为企业和群众“跑腿办事”，服务我市招商引资。</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2.推动大数据在生产领域的应用创新。</w:t>
      </w:r>
      <w:r>
        <w:rPr>
          <w:rFonts w:hint="eastAsia" w:ascii="仿宋_GB2312" w:hAnsi="仿宋_GB2312" w:eastAsia="仿宋_GB2312" w:cs="仿宋_GB2312"/>
        </w:rPr>
        <w:t>引导企业分析、挖掘公众数据需求，加快大数据创新应用，提高生产、销售、服务等环节的管理水平，推动工业产品向价值链高端跨越，推动制造商向服务商转变。</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3.推动大数据在流通领域的应用创新。</w:t>
      </w:r>
      <w:r>
        <w:rPr>
          <w:rFonts w:hint="eastAsia" w:ascii="仿宋_GB2312" w:hAnsi="仿宋_GB2312" w:eastAsia="仿宋_GB2312" w:cs="仿宋_GB2312"/>
        </w:rPr>
        <w:t>鼓励大数据支持下的商业服务模式创新，推动金融、电信、物流、零售、外贸等企业信息化和大数据改造，鼓励其向用户平台类企业转变。</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4.推动大数据在农业领域的应用创新。</w:t>
      </w:r>
      <w:r>
        <w:rPr>
          <w:rFonts w:hint="eastAsia" w:ascii="仿宋_GB2312" w:hAnsi="仿宋_GB2312" w:eastAsia="仿宋_GB2312" w:cs="仿宋_GB2312"/>
        </w:rPr>
        <w:t>加快推进农业现代化。把信息化作为农业现代化的关键支撑，推动信息技术和智能装备在农业生产经营中的应用，培育互联网农业，建立健全智能化、网络化农业生产经营体系，加快农业产业化进程。加强耕地、水等重要资源和主要农业投入品联网监测，健全农业信息监测预警和服务体系，提高农业生产全过程信息管理服务能力，确保粮食安全和农产品质量安全。</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5.推动大数据在服务业领域的应用创新。</w:t>
      </w:r>
      <w:r>
        <w:rPr>
          <w:rFonts w:hint="eastAsia" w:ascii="仿宋_GB2312" w:hAnsi="仿宋_GB2312" w:eastAsia="仿宋_GB2312" w:cs="仿宋_GB2312"/>
        </w:rPr>
        <w:t>充分发挥互联网在生产要素配置中的优化和集成作用，大力推进“互联网+”在电子商务、物流等领域应用，创新服务内容和模式，打造网络与实体经济协同互动发展的新格局。打通流通领域信息共享。面向物流相关企业，提供物流网络及运营的数据分析、数据挖掘及可视化服务，对物流产业各类资源进行高效配置，实现物流产业各个环节的信息共享和协同运作。完善电子商务监测体系。汇聚信息资源和服务资源，完善电子商务信息监测体系，全局展示全市电子商务发展的整体情况，立体化、多视角的数据挖掘分析，进一步完善电子商务服务支撑，促进电子商务协同、创新发展。</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6.推动大数据在海洋领域的应用创新。</w:t>
      </w:r>
      <w:r>
        <w:rPr>
          <w:rFonts w:hint="eastAsia" w:ascii="仿宋_GB2312" w:hAnsi="仿宋_GB2312" w:eastAsia="仿宋_GB2312" w:cs="仿宋_GB2312"/>
        </w:rPr>
        <w:t>依托数字福建（长乐）产业园，建设海上丝绸之路海洋大数据中心。规划国际化海洋数据共享，构建国际海洋数据库网络，运用互联网技术和云计算开发，创新海洋资源、技术、产业、环境、市场等涉海信息的搜集、整理、加工、整合与发布机制。基于海上丝绸之路海洋大数据中心软硬件基础设施和信息服务体系，加强与中船重工研究机构合作，积极承担国家级科研项目，建立有自主知识产权的可持续开发利用的海洋信息云计算与云服务平台，为智慧海洋福建示范区提供服务。依托中国福建VR产业基地，综合利用VR技术与GIS地理信息技术，对海量数据进行集中有效管理，构建多维可视化海洋信息管理平台。</w:t>
      </w:r>
    </w:p>
    <w:p>
      <w:pPr>
        <w:pStyle w:val="3"/>
        <w:ind w:firstLine="640"/>
      </w:pPr>
      <w:bookmarkStart w:id="61" w:name="_Toc455739618"/>
      <w:bookmarkStart w:id="62" w:name="_Toc479925247"/>
      <w:r>
        <w:rPr>
          <w:rFonts w:hint="eastAsia"/>
        </w:rPr>
        <w:t>六、</w:t>
      </w:r>
      <w:bookmarkEnd w:id="61"/>
      <w:r>
        <w:rPr>
          <w:rFonts w:hint="eastAsia"/>
        </w:rPr>
        <w:t>推进特色领域信息化</w:t>
      </w:r>
      <w:bookmarkEnd w:id="62"/>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以福州新区、自贸区福州片区，支持福建建设21世纪海上丝绸之路核心区等国家重点战略部署为契机，积极推动相关领域的信息化开放合作重大战略专项。到2020年各类重大战略专项基本建成，福州综合竞争力进一步增强。</w:t>
      </w:r>
    </w:p>
    <w:p>
      <w:pPr>
        <w:pStyle w:val="4"/>
        <w:ind w:firstLine="643"/>
        <w:rPr>
          <w:rFonts w:ascii="楷体" w:hAnsi="楷体" w:eastAsia="楷体"/>
        </w:rPr>
      </w:pPr>
      <w:bookmarkStart w:id="63" w:name="_Toc455739619"/>
      <w:bookmarkStart w:id="64" w:name="_Toc479925248"/>
      <w:r>
        <w:rPr>
          <w:rFonts w:hint="eastAsia" w:ascii="楷体" w:hAnsi="楷体" w:eastAsia="楷体"/>
        </w:rPr>
        <w:t>（一）福州新区</w:t>
      </w:r>
      <w:bookmarkEnd w:id="63"/>
      <w:r>
        <w:rPr>
          <w:rFonts w:hint="eastAsia" w:ascii="楷体" w:hAnsi="楷体" w:eastAsia="楷体"/>
        </w:rPr>
        <w:t>信息化</w:t>
      </w:r>
      <w:bookmarkEnd w:id="64"/>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充分利用现有信息化建设成果，以服务福州新区发展为目标，大力开展福州新区有关领域信息化建设，建设福州新区行政审批综合服务信息平台，提高福州新区信息化管理水平和辅助决策水平。优先从现代产业、对外贸易、两岸交流、协调发展、机制创新、生态改善六个主要领域多方位评估福州新区发展状况。</w:t>
      </w:r>
    </w:p>
    <w:p>
      <w:pPr>
        <w:pStyle w:val="4"/>
        <w:ind w:firstLine="643"/>
        <w:rPr>
          <w:rFonts w:ascii="楷体" w:hAnsi="楷体" w:eastAsia="楷体"/>
        </w:rPr>
      </w:pPr>
      <w:bookmarkStart w:id="65" w:name="_Toc479925249"/>
      <w:bookmarkStart w:id="66" w:name="_Toc455739621"/>
      <w:r>
        <w:rPr>
          <w:rFonts w:hint="eastAsia" w:ascii="楷体" w:hAnsi="楷体" w:eastAsia="楷体"/>
        </w:rPr>
        <w:t>（二）自贸试验区信息化</w:t>
      </w:r>
      <w:bookmarkEnd w:id="65"/>
      <w:bookmarkEnd w:id="66"/>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在全省率先统筹建设自贸试验区信息化平台、通关平台和国际贸易“单一窗口”。积极对接全省通关信息平台和事中事后监管平台，加快行政审批综合服务信息平台、海关监管信息平台、国检信息化平台、监管信息共享平台、跨境电商检验检疫监管平台建设，完善优化跨境电子商务公共服务平台，建立行业信息跟踪、监管和归集的综合性评估机制，加强对区内企业在区外经营活动全过程的跟踪、管理和监督。</w:t>
      </w:r>
    </w:p>
    <w:p>
      <w:pPr>
        <w:pStyle w:val="4"/>
        <w:ind w:firstLine="643"/>
        <w:rPr>
          <w:rFonts w:ascii="楷体" w:hAnsi="楷体" w:eastAsia="楷体"/>
        </w:rPr>
      </w:pPr>
      <w:bookmarkStart w:id="67" w:name="_Toc455739622"/>
      <w:bookmarkStart w:id="68" w:name="_Toc479925250"/>
      <w:r>
        <w:rPr>
          <w:rFonts w:hint="eastAsia" w:ascii="楷体" w:hAnsi="楷体" w:eastAsia="楷体"/>
        </w:rPr>
        <w:t>（三）军地信息一体化</w:t>
      </w:r>
      <w:bookmarkEnd w:id="67"/>
      <w:bookmarkEnd w:id="68"/>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探索信息化军地企多元融合建设模式，推进军地信息一体化。建设“榕兵一号” 一网三终端信息系统，升级改造福州市GNSS，建成以北斗信号为主，兼顾GPS、GLONASS信号的多模卫星导航定位基准服务系统。率先推动政府数据融合，构建国防动员信息基础网络。建设集作战数据、地理信息、气象水文、海情、空情、城市应急等多种要素于一体的综合集成的信息化指挥平台，实现军地情报共享。推进海洋渔业北斗应用项目，继续推行渔船公司化、协会化管理模式，推动全市44.1千瓦以上的海洋捕捞渔船100%安装、使用北斗海事一体化船载终端。推进福州高新技术产业企业与部队建设需求对接，助力本地企业成长。</w:t>
      </w:r>
    </w:p>
    <w:p>
      <w:pPr>
        <w:pStyle w:val="3"/>
        <w:ind w:firstLine="640"/>
      </w:pPr>
      <w:bookmarkStart w:id="69" w:name="_Toc479925251"/>
      <w:bookmarkStart w:id="70" w:name="_Toc455739623"/>
      <w:r>
        <w:rPr>
          <w:rFonts w:hint="eastAsia"/>
        </w:rPr>
        <w:t>七、深化</w:t>
      </w:r>
      <w:r>
        <w:t>网络与信息安全建设</w:t>
      </w:r>
      <w:bookmarkEnd w:id="69"/>
      <w:bookmarkEnd w:id="70"/>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建立健全法律法规和制度规范，推动适应新情况、新要求的信息安全技术规范的制定和完善，加速网络安全保障从被动防御向主动预防转变，从分散保障管理向协同化体系化转变。到2020年，“数字福州”和互联网经济基础设施、重要系统和数据资源安全保障能力全面提升，网络空间和网络社会治理体系基本形成。</w:t>
      </w:r>
    </w:p>
    <w:p>
      <w:pPr>
        <w:pStyle w:val="4"/>
        <w:ind w:firstLine="643"/>
        <w:rPr>
          <w:rFonts w:ascii="楷体" w:hAnsi="楷体" w:eastAsia="楷体"/>
        </w:rPr>
      </w:pPr>
      <w:bookmarkStart w:id="71" w:name="_Toc479925252"/>
      <w:bookmarkStart w:id="72" w:name="_Toc455739624"/>
      <w:r>
        <w:rPr>
          <w:rFonts w:hint="eastAsia" w:ascii="楷体" w:hAnsi="楷体" w:eastAsia="楷体"/>
        </w:rPr>
        <w:t>（一）建立健全法规和制度规范</w:t>
      </w:r>
      <w:bookmarkEnd w:id="71"/>
      <w:bookmarkEnd w:id="72"/>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构建和梳理政务信息安全总体规划，明确目标、建设内容和路线图。以网络与平台安全管理建设为重点，明确各职能部门的职责和分工；探索引入社会第三方安全机构提供安全保障服务，推进信息安全保障的专业化和规范化；探索以各类智慧系统、智慧平台、智慧应用为重点，通过“规划、实施、检查、评估”的持续改进，建设内生式网络与信息安全保障机制，实现网络和信息安全管理“看得见、用得好、管得住”的目标。</w:t>
      </w:r>
    </w:p>
    <w:p>
      <w:pPr>
        <w:pStyle w:val="4"/>
        <w:ind w:firstLine="643"/>
        <w:rPr>
          <w:rFonts w:ascii="楷体" w:hAnsi="楷体" w:eastAsia="楷体"/>
        </w:rPr>
      </w:pPr>
      <w:bookmarkStart w:id="73" w:name="_Toc455739625"/>
      <w:bookmarkStart w:id="74" w:name="_Toc479925253"/>
      <w:r>
        <w:rPr>
          <w:rFonts w:hint="eastAsia" w:ascii="楷体" w:hAnsi="楷体" w:eastAsia="楷体"/>
        </w:rPr>
        <w:t>（二）完善信息安全技术规范</w:t>
      </w:r>
      <w:bookmarkEnd w:id="73"/>
      <w:bookmarkEnd w:id="74"/>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加强云计算、大数据安全架构总体研究和检验检测等关键技术研发，推动云计算模式下信息安全标准、规范的制定与落实，不断完善安全保障体系，持续强化网络安全与信息保密技术措施，推动网络安全和信息保密手段建设与平台建设同步配套发展，确保各类信息系统的安全稳定运行。</w:t>
      </w:r>
    </w:p>
    <w:p>
      <w:pPr>
        <w:pStyle w:val="4"/>
        <w:ind w:firstLine="643"/>
        <w:rPr>
          <w:rFonts w:ascii="楷体" w:hAnsi="楷体" w:eastAsia="楷体"/>
        </w:rPr>
      </w:pPr>
      <w:bookmarkStart w:id="75" w:name="_Toc479925254"/>
      <w:bookmarkStart w:id="76" w:name="_Toc455739626"/>
      <w:r>
        <w:rPr>
          <w:rFonts w:hint="eastAsia" w:ascii="楷体" w:hAnsi="楷体" w:eastAsia="楷体"/>
        </w:rPr>
        <w:t>（三）加强网络安全威胁防御体系建设</w:t>
      </w:r>
      <w:bookmarkEnd w:id="75"/>
      <w:bookmarkEnd w:id="76"/>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1.建立完善福州市政务网络安全防护体系。</w:t>
      </w:r>
      <w:r>
        <w:rPr>
          <w:rFonts w:hint="eastAsia" w:ascii="仿宋_GB2312" w:hAnsi="仿宋_GB2312" w:eastAsia="仿宋_GB2312" w:cs="仿宋_GB2312"/>
        </w:rPr>
        <w:t>完成政务信息安全体系顶层设计建设，包含网络安全、终端安全、应用安全、云安全、数据安全、账户管理、人员安全管理等；通过系统建设、人员培训和专业服务购买，使我市政务信息体系具备相当的防入侵、防渗透、防病毒、抗攻击能力；同时通过部署云安全能力，对各类在复杂网络安全环境下潜在、未知的威胁和攻击及时做出响应。</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2.部署信息安全监控平台。</w:t>
      </w:r>
      <w:r>
        <w:rPr>
          <w:rFonts w:hint="eastAsia" w:ascii="仿宋_GB2312" w:hAnsi="仿宋_GB2312" w:eastAsia="仿宋_GB2312" w:cs="仿宋_GB2312"/>
        </w:rPr>
        <w:t>实现对“中国福州”门户网站群安全信息的动态收集与监控；建立对政务云平台、大数据平台的7*24小时监控系统，强化平台边界流量管控能力，提升安全接入方面的安全水平；加强与网络安全保障体系的对接，实现安全预警的有效联动；提高政务信息系统相关人员的网络安全意识，营造安全可信的网络社会环境；加强政务信息管理，对重要数据的使用建立落实审计制度；提升信息安全管理人员的业务技术水平，强化网络安全监管和专业应急处置能力。</w:t>
      </w:r>
    </w:p>
    <w:p>
      <w:pPr>
        <w:spacing w:line="576" w:lineRule="exact"/>
        <w:ind w:firstLine="643" w:firstLineChars="200"/>
        <w:rPr>
          <w:rFonts w:hint="eastAsia" w:ascii="仿宋_GB2312" w:hAnsi="仿宋_GB2312" w:eastAsia="仿宋_GB2312" w:cs="仿宋_GB2312"/>
        </w:rPr>
      </w:pPr>
      <w:r>
        <w:rPr>
          <w:rFonts w:hint="eastAsia" w:ascii="仿宋_GB2312" w:hAnsi="仿宋_GB2312" w:eastAsia="仿宋_GB2312" w:cs="仿宋_GB2312"/>
          <w:b/>
        </w:rPr>
        <w:t>3.实施国家信息中心360安全大数据开发与治理中心项目。</w:t>
      </w:r>
      <w:r>
        <w:rPr>
          <w:rFonts w:hint="eastAsia" w:ascii="仿宋_GB2312" w:hAnsi="仿宋_GB2312" w:eastAsia="仿宋_GB2312" w:cs="仿宋_GB2312"/>
        </w:rPr>
        <w:t>开发安全大数据资源，服务国家网络信息安全、经济安全等重大问题研究。</w:t>
      </w:r>
    </w:p>
    <w:p>
      <w:pPr>
        <w:pStyle w:val="4"/>
        <w:ind w:firstLine="643"/>
        <w:rPr>
          <w:rFonts w:ascii="楷体" w:hAnsi="楷体" w:eastAsia="楷体"/>
        </w:rPr>
      </w:pPr>
      <w:bookmarkStart w:id="77" w:name="_Toc455739627"/>
      <w:bookmarkStart w:id="78" w:name="_Toc479925255"/>
      <w:r>
        <w:rPr>
          <w:rFonts w:hint="eastAsia" w:ascii="楷体" w:hAnsi="楷体" w:eastAsia="楷体"/>
        </w:rPr>
        <w:t>（四）</w:t>
      </w:r>
      <w:bookmarkEnd w:id="77"/>
      <w:r>
        <w:rPr>
          <w:rFonts w:hint="eastAsia" w:ascii="楷体" w:hAnsi="楷体" w:eastAsia="楷体"/>
        </w:rPr>
        <w:t>加大自主可控技术和产品应用力度</w:t>
      </w:r>
      <w:bookmarkEnd w:id="78"/>
    </w:p>
    <w:p>
      <w:pPr>
        <w:spacing w:line="576"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在党政部门加大推广应用国产信息技术与产品，推进党政机关电子公文系统安全可靠应用。在重要信息系统的关键应用中，重点支持具备安全服务能力和资质的本地企业。在能源、通信、金融、交通、制造业等经济社会运行重点行业开展国产信息技术应用试点和示范，确保关键信息基础设施设备、数据和系统安全。制定信息安全产品、信息安全服务外包企业审查标准，建立信息安全重点产品、信息安全服务企业推荐目录。</w:t>
      </w:r>
    </w:p>
    <w:p>
      <w:pPr>
        <w:spacing w:line="576" w:lineRule="exact"/>
        <w:ind w:firstLine="640" w:firstLineChars="200"/>
        <w:rPr>
          <w:rFonts w:hint="eastAsia" w:cs="仿宋_GB2312"/>
        </w:rPr>
      </w:pPr>
    </w:p>
    <w:p>
      <w:pPr>
        <w:spacing w:line="576" w:lineRule="exact"/>
        <w:ind w:firstLine="640" w:firstLineChars="200"/>
      </w:pPr>
    </w:p>
    <w:p>
      <w:pPr>
        <w:spacing w:line="576" w:lineRule="exact"/>
        <w:ind w:firstLine="640" w:firstLineChars="200"/>
        <w:rPr>
          <w:rFonts w:hint="eastAsia" w:ascii="仿宋" w:hAnsi="仿宋" w:eastAsia="仿宋"/>
          <w:sz w:val="32"/>
          <w:lang w:val="en-US" w:eastAsia="zh-CN"/>
        </w:rPr>
        <w:sectPr>
          <w:pgSz w:w="11906" w:h="16838"/>
          <w:pgMar w:top="2098" w:right="1474" w:bottom="1984" w:left="1588" w:header="851" w:footer="1134" w:gutter="0"/>
          <w:pgNumType w:fmt="decimal"/>
          <w:cols w:space="720" w:num="1"/>
          <w:titlePg/>
          <w:rtlGutter w:val="0"/>
          <w:docGrid w:type="lines" w:linePitch="435" w:charSpace="0"/>
        </w:sectPr>
      </w:pPr>
    </w:p>
    <w:p>
      <w:pPr>
        <w:pStyle w:val="2"/>
        <w:jc w:val="center"/>
      </w:pPr>
      <w:bookmarkStart w:id="79" w:name="_Toc479925256"/>
      <w:bookmarkStart w:id="80" w:name="_Toc455739628"/>
      <w:r>
        <w:rPr>
          <w:rFonts w:hint="eastAsia"/>
        </w:rPr>
        <w:t>第四章 机制保障和组织实施</w:t>
      </w:r>
      <w:bookmarkEnd w:id="79"/>
      <w:bookmarkEnd w:id="80"/>
    </w:p>
    <w:p>
      <w:bookmarkStart w:id="81" w:name="_Toc455739629"/>
    </w:p>
    <w:p>
      <w:pPr>
        <w:pStyle w:val="3"/>
        <w:ind w:firstLine="640"/>
      </w:pPr>
      <w:bookmarkStart w:id="82" w:name="_Toc479925257"/>
      <w:r>
        <w:rPr>
          <w:rFonts w:hint="eastAsia"/>
        </w:rPr>
        <w:t>一、强化组织领导</w:t>
      </w:r>
      <w:bookmarkEnd w:id="82"/>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rPr>
        <w:t>坚持福州市“数字福州”建设领导小组对福州市信息化发展的集中统一领导，信息化领域重大政策和事项须经领导小组审定。</w:t>
      </w:r>
    </w:p>
    <w:p>
      <w:pPr>
        <w:pStyle w:val="3"/>
        <w:ind w:firstLine="640"/>
      </w:pPr>
      <w:bookmarkStart w:id="83" w:name="_Toc479925258"/>
      <w:r>
        <w:rPr>
          <w:rFonts w:hint="eastAsia"/>
        </w:rPr>
        <w:t>二、健全工作机制</w:t>
      </w:r>
      <w:bookmarkEnd w:id="83"/>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rPr>
        <w:t>福州市“数字福州”建设领导小组办公室负责统筹协调《规划》的实施和督促检查，坚持规划、项目、资金、评价一体化管理等行之有效的工作机制，加强各级各部门信息化工作力量和协调能力，构建统一领导、上下衔接、统筹有力的全市信息化组织体系。</w:t>
      </w:r>
    </w:p>
    <w:p>
      <w:pPr>
        <w:pStyle w:val="3"/>
        <w:ind w:firstLine="640"/>
      </w:pPr>
      <w:bookmarkStart w:id="84" w:name="_Toc479925259"/>
      <w:r>
        <w:rPr>
          <w:rFonts w:hint="eastAsia"/>
        </w:rPr>
        <w:t>三、创新资金筹措</w:t>
      </w:r>
      <w:bookmarkEnd w:id="84"/>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rPr>
        <w:t>加强市级财政资金筹措、整合和统筹，积极争取国家和福建省信息化建设专项资金的支持。加强信息化建设资金审核与监管，提高信息化资金使用效益。</w:t>
      </w:r>
    </w:p>
    <w:p>
      <w:pPr>
        <w:pStyle w:val="3"/>
        <w:ind w:firstLine="640"/>
      </w:pPr>
      <w:bookmarkStart w:id="85" w:name="_Toc479925260"/>
      <w:r>
        <w:rPr>
          <w:rFonts w:hint="eastAsia"/>
        </w:rPr>
        <w:t>四、加强督促落实</w:t>
      </w:r>
      <w:bookmarkEnd w:id="85"/>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rPr>
        <w:t>对《规划》的各项目标、任务及工程项目内容开展多层次的绩效评估考核，广泛征集各部门、各企业和社会公众的意见，对各项重点工程取得的阶段性成果进行评估，并依据评估结果调整工程后续建设方案和资金投入，形成“评估体系促进建设进程，建设效果修正评估体系”的良性互动机制。</w:t>
      </w:r>
    </w:p>
    <w:bookmarkEnd w:id="81"/>
    <w:p>
      <w:pPr>
        <w:pStyle w:val="3"/>
        <w:ind w:firstLine="640"/>
      </w:pPr>
      <w:bookmarkStart w:id="86" w:name="_Toc455739633"/>
      <w:bookmarkStart w:id="87" w:name="_Toc479925261"/>
      <w:r>
        <w:rPr>
          <w:rFonts w:hint="eastAsia"/>
        </w:rPr>
        <w:t>五、深化应用</w:t>
      </w:r>
      <w:r>
        <w:t>推广</w:t>
      </w:r>
      <w:bookmarkEnd w:id="86"/>
      <w:bookmarkEnd w:id="87"/>
    </w:p>
    <w:p>
      <w:pPr>
        <w:spacing w:line="576" w:lineRule="exact"/>
        <w:ind w:firstLine="640"/>
        <w:rPr>
          <w:rFonts w:hint="eastAsia" w:ascii="仿宋_GB2312" w:hAnsi="仿宋_GB2312" w:eastAsia="仿宋_GB2312" w:cs="仿宋_GB2312"/>
        </w:rPr>
      </w:pPr>
      <w:r>
        <w:rPr>
          <w:rFonts w:hint="eastAsia" w:ascii="仿宋_GB2312" w:hAnsi="仿宋_GB2312" w:eastAsia="仿宋_GB2312" w:cs="仿宋_GB2312"/>
        </w:rPr>
        <w:t>建立市场化的数据应用机制，支持社会资本参与公共服务建设。鼓励政府与企业、社会机构开展合作，通过政府采购、服务外包、社会众包等多种方式，依托专业机构企业拓展政府大数据应用，降低社会管理成本；在保障公平竞争的前提下，逐步打破“数据割据”“数据孤岛”的不良发展局面，探索建立大数据交易市场，为数据使用者提供丰富的数据来源和数据应用，鼓励产业链各环节市场主体进行数据交换和交易，促进数据资源流通，建立健全数据资源交易机制和定价机制，规范交易行为。充分利用电视、广播、报刊、互联网等各种渠道，开展立体宣传活动，形成社会普遍认同、积极参与的良好氛围。</w:t>
      </w:r>
    </w:p>
    <w:p>
      <w:pPr>
        <w:spacing w:line="576" w:lineRule="exact"/>
        <w:ind w:firstLine="640"/>
        <w:rPr>
          <w:rFonts w:hint="eastAsia" w:ascii="仿宋_GB2312" w:hAnsi="仿宋_GB2312" w:eastAsia="仿宋_GB2312" w:cs="仿宋_GB2312"/>
        </w:rPr>
      </w:pPr>
    </w:p>
    <w:p>
      <w:pPr>
        <w:spacing w:line="576" w:lineRule="exact"/>
        <w:ind w:firstLine="636" w:firstLineChars="200"/>
        <w:rPr>
          <w:rFonts w:hint="eastAsia" w:ascii="仿宋_GB2312" w:hAnsi="仿宋_GB2312" w:eastAsia="仿宋_GB2312" w:cs="仿宋_GB2312"/>
          <w:sz w:val="32"/>
        </w:rPr>
      </w:pPr>
      <w:r>
        <w:rPr>
          <w:rFonts w:hint="eastAsia" w:ascii="仿宋_GB2312" w:hAnsi="仿宋_GB2312" w:eastAsia="仿宋_GB2312" w:cs="仿宋_GB2312"/>
          <w:sz w:val="32"/>
        </w:rPr>
        <w:t>附</w:t>
      </w:r>
      <w:r>
        <w:rPr>
          <w:rFonts w:hint="eastAsia" w:ascii="仿宋_GB2312" w:hAnsi="仿宋_GB2312" w:eastAsia="仿宋_GB2312" w:cs="仿宋_GB2312"/>
          <w:sz w:val="32"/>
          <w:lang w:eastAsia="zh-CN"/>
        </w:rPr>
        <w:t>件</w:t>
      </w:r>
      <w:r>
        <w:rPr>
          <w:rFonts w:hint="eastAsia" w:ascii="仿宋_GB2312" w:hAnsi="仿宋_GB2312" w:eastAsia="仿宋_GB2312" w:cs="仿宋_GB2312"/>
          <w:sz w:val="32"/>
        </w:rPr>
        <w:t>：列入“十三五”数字福州专项规划滚动管理的重大项</w:t>
      </w:r>
    </w:p>
    <w:p>
      <w:pPr>
        <w:ind w:firstLine="636" w:firstLineChars="200"/>
        <w:rPr>
          <w:rFonts w:hint="eastAsia"/>
        </w:rPr>
        <w:sectPr>
          <w:pgSz w:w="11906" w:h="16838"/>
          <w:pgMar w:top="2098" w:right="1417" w:bottom="1587" w:left="1587" w:header="850" w:footer="1361" w:gutter="0"/>
          <w:pgNumType w:fmt="decimal"/>
          <w:cols w:space="720" w:num="1"/>
          <w:rtlGutter w:val="0"/>
          <w:docGrid w:type="linesAndChars" w:linePitch="593" w:charSpace="-425"/>
        </w:sectPr>
      </w:pPr>
      <w:r>
        <w:rPr>
          <w:rFonts w:hint="eastAsia" w:cs="仿宋_GB2312"/>
          <w:sz w:val="32"/>
          <w:lang w:val="en-US" w:eastAsia="zh-CN"/>
        </w:rPr>
        <w:t xml:space="preserve">      </w:t>
      </w:r>
      <w:r>
        <w:rPr>
          <w:rFonts w:hint="eastAsia" w:ascii="仿宋_GB2312" w:hAnsi="仿宋_GB2312" w:eastAsia="仿宋_GB2312" w:cs="仿宋_GB2312"/>
          <w:sz w:val="32"/>
        </w:rPr>
        <w:t>目（工程）表</w:t>
      </w:r>
      <w:r>
        <w:rPr>
          <w:rFonts w:hint="eastAsia" w:cs="仿宋_GB2312"/>
          <w:sz w:val="32"/>
          <w:lang w:val="en-US" w:eastAsia="zh-CN"/>
        </w:rPr>
        <w:t xml:space="preserve">  </w:t>
      </w:r>
      <w:r>
        <w:rPr>
          <w:rFonts w:hint="eastAsia" w:ascii="方正仿宋_GBK" w:hAnsi="方正仿宋_GBK"/>
          <w:spacing w:val="-10"/>
          <w:lang w:eastAsia="zh-CN"/>
        </w:rPr>
        <w:t xml:space="preserve"> </w:t>
      </w:r>
      <w:r>
        <w:rPr>
          <w:rFonts w:hint="eastAsia" w:ascii="仿宋_GB2312" w:hAnsi="仿宋_GB2312"/>
          <w:spacing w:val="-10"/>
          <w:kern w:val="2"/>
          <w:sz w:val="32"/>
          <w:lang w:val="en-US" w:eastAsia="zh-CN"/>
        </w:rPr>
        <w:t xml:space="preserve">                                </w:t>
      </w:r>
      <w:r>
        <w:rPr>
          <w:rFonts w:hint="eastAsia"/>
          <w:spacing w:val="-10"/>
          <w:kern w:val="2"/>
          <w:sz w:val="32"/>
          <w:lang w:val="en-US" w:eastAsia="zh-CN"/>
        </w:rPr>
        <w:t xml:space="preserve">                            </w:t>
      </w:r>
      <w:bookmarkStart w:id="88" w:name="_Toc479925262"/>
      <w:r>
        <w:rPr>
          <w:rFonts w:hint="eastAsia" w:hAnsi="方正仿宋_GBK"/>
          <w:sz w:val="28"/>
          <w:lang w:eastAsia="zh-CN"/>
        </w:rPr>
        <w:t>省政府办公厅电子政务办，省数字办。市委办公厅、市人大常委会办公厅、市政协办公厅。</w:t>
      </w:r>
    </w:p>
    <w:p>
      <w:pPr>
        <w:pStyle w:val="2"/>
        <w:pageBreakBefore/>
        <w:jc w:val="both"/>
        <w:rPr>
          <w:rFonts w:hint="eastAsia"/>
          <w:lang w:eastAsia="zh-CN"/>
        </w:rPr>
      </w:pPr>
      <w:r>
        <w:rPr>
          <w:rFonts w:hint="eastAsia"/>
        </w:rPr>
        <w:t>附</w:t>
      </w:r>
      <w:r>
        <w:rPr>
          <w:rFonts w:hint="eastAsia"/>
          <w:lang w:eastAsia="zh-CN"/>
        </w:rPr>
        <w:t>件</w:t>
      </w:r>
    </w:p>
    <w:p>
      <w:pPr>
        <w:rPr>
          <w:rFonts w:hint="eastAsia" w:eastAsia="仿宋_GB2312"/>
          <w:sz w:val="44"/>
          <w:szCs w:val="44"/>
          <w:lang w:val="en-US" w:eastAsia="zh-CN"/>
        </w:rPr>
      </w:pPr>
      <w:r>
        <w:rPr>
          <w:rFonts w:hint="eastAsia" w:ascii="方正小标宋简体" w:hAnsi="方正小标宋简体" w:eastAsia="方正小标宋简体" w:cs="方正小标宋简体"/>
          <w:spacing w:val="-20"/>
          <w:sz w:val="44"/>
          <w:szCs w:val="44"/>
          <w:lang w:val="en-US" w:eastAsia="zh-CN"/>
        </w:rPr>
        <w:t xml:space="preserve">   列入“十三五”数字福州专项规划滚动管理的重大项目（工程）表</w:t>
      </w:r>
    </w:p>
    <w:bookmarkEnd w:id="88"/>
    <w:tbl>
      <w:tblPr>
        <w:tblStyle w:val="8"/>
        <w:tblW w:w="149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879"/>
        <w:gridCol w:w="2041"/>
        <w:gridCol w:w="6902"/>
        <w:gridCol w:w="1206"/>
        <w:gridCol w:w="2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8" w:hRule="exact"/>
          <w:tblHeader/>
          <w:jc w:val="center"/>
        </w:trPr>
        <w:tc>
          <w:tcPr>
            <w:tcW w:w="702" w:type="dxa"/>
            <w:vAlign w:val="center"/>
          </w:tcPr>
          <w:p>
            <w:pPr>
              <w:widowControl/>
              <w:jc w:val="center"/>
              <w:rPr>
                <w:rFonts w:hint="eastAsia" w:ascii="仿宋_GB2312" w:hAnsi="仿宋_GB2312" w:eastAsia="仿宋_GB2312" w:cs="仿宋_GB2312"/>
                <w:b/>
                <w:color w:val="000000"/>
                <w:kern w:val="0"/>
                <w:sz w:val="22"/>
                <w:szCs w:val="22"/>
              </w:rPr>
            </w:pPr>
            <w:r>
              <w:rPr>
                <w:rFonts w:hint="eastAsia" w:ascii="仿宋_GB2312" w:hAnsi="仿宋_GB2312" w:eastAsia="仿宋_GB2312" w:cs="仿宋_GB2312"/>
                <w:b/>
                <w:color w:val="000000"/>
                <w:kern w:val="0"/>
                <w:sz w:val="22"/>
                <w:szCs w:val="22"/>
              </w:rPr>
              <w:t>序号</w:t>
            </w:r>
          </w:p>
        </w:tc>
        <w:tc>
          <w:tcPr>
            <w:tcW w:w="1879" w:type="dxa"/>
            <w:vAlign w:val="center"/>
          </w:tcPr>
          <w:p>
            <w:pPr>
              <w:widowControl/>
              <w:jc w:val="center"/>
              <w:rPr>
                <w:rFonts w:hint="eastAsia" w:ascii="仿宋_GB2312" w:hAnsi="仿宋_GB2312" w:eastAsia="仿宋_GB2312" w:cs="仿宋_GB2312"/>
                <w:b/>
                <w:color w:val="000000"/>
                <w:kern w:val="0"/>
                <w:sz w:val="22"/>
                <w:szCs w:val="22"/>
              </w:rPr>
            </w:pPr>
            <w:r>
              <w:rPr>
                <w:rFonts w:hint="eastAsia" w:ascii="仿宋_GB2312" w:hAnsi="仿宋_GB2312" w:eastAsia="仿宋_GB2312" w:cs="仿宋_GB2312"/>
                <w:b/>
                <w:color w:val="000000"/>
                <w:kern w:val="0"/>
                <w:sz w:val="22"/>
                <w:szCs w:val="22"/>
              </w:rPr>
              <w:t>项目名称</w:t>
            </w:r>
          </w:p>
        </w:tc>
        <w:tc>
          <w:tcPr>
            <w:tcW w:w="2041" w:type="dxa"/>
            <w:vAlign w:val="center"/>
          </w:tcPr>
          <w:p>
            <w:pPr>
              <w:widowControl/>
              <w:jc w:val="center"/>
              <w:rPr>
                <w:rFonts w:hint="eastAsia" w:ascii="仿宋_GB2312" w:hAnsi="仿宋_GB2312" w:eastAsia="仿宋_GB2312" w:cs="仿宋_GB2312"/>
                <w:b/>
                <w:color w:val="000000"/>
                <w:kern w:val="0"/>
                <w:sz w:val="22"/>
                <w:szCs w:val="22"/>
              </w:rPr>
            </w:pPr>
            <w:r>
              <w:rPr>
                <w:rFonts w:hint="eastAsia" w:ascii="仿宋_GB2312" w:hAnsi="仿宋_GB2312" w:eastAsia="仿宋_GB2312" w:cs="仿宋_GB2312"/>
                <w:b/>
                <w:color w:val="000000"/>
                <w:kern w:val="0"/>
                <w:sz w:val="22"/>
                <w:szCs w:val="22"/>
              </w:rPr>
              <w:t>责任单位</w:t>
            </w:r>
          </w:p>
        </w:tc>
        <w:tc>
          <w:tcPr>
            <w:tcW w:w="6902" w:type="dxa"/>
            <w:vAlign w:val="center"/>
          </w:tcPr>
          <w:p>
            <w:pPr>
              <w:widowControl/>
              <w:jc w:val="center"/>
              <w:rPr>
                <w:rFonts w:hint="eastAsia" w:ascii="仿宋_GB2312" w:hAnsi="仿宋_GB2312" w:eastAsia="仿宋_GB2312" w:cs="仿宋_GB2312"/>
                <w:b/>
                <w:color w:val="000000"/>
                <w:kern w:val="0"/>
                <w:sz w:val="22"/>
                <w:szCs w:val="22"/>
              </w:rPr>
            </w:pPr>
            <w:r>
              <w:rPr>
                <w:rFonts w:hint="eastAsia" w:ascii="仿宋_GB2312" w:hAnsi="仿宋_GB2312" w:eastAsia="仿宋_GB2312" w:cs="仿宋_GB2312"/>
                <w:b/>
                <w:color w:val="000000"/>
                <w:kern w:val="0"/>
                <w:sz w:val="22"/>
                <w:szCs w:val="22"/>
              </w:rPr>
              <w:t>建设内容</w:t>
            </w:r>
          </w:p>
        </w:tc>
        <w:tc>
          <w:tcPr>
            <w:tcW w:w="1206" w:type="dxa"/>
            <w:vAlign w:val="center"/>
          </w:tcPr>
          <w:p>
            <w:pPr>
              <w:widowControl/>
              <w:jc w:val="center"/>
              <w:rPr>
                <w:rFonts w:hint="eastAsia" w:ascii="仿宋_GB2312" w:hAnsi="仿宋_GB2312" w:eastAsia="仿宋_GB2312" w:cs="仿宋_GB2312"/>
                <w:b/>
                <w:color w:val="000000"/>
                <w:kern w:val="0"/>
                <w:sz w:val="22"/>
                <w:szCs w:val="22"/>
              </w:rPr>
            </w:pPr>
            <w:r>
              <w:rPr>
                <w:rFonts w:hint="eastAsia" w:ascii="仿宋_GB2312" w:hAnsi="仿宋_GB2312" w:eastAsia="仿宋_GB2312" w:cs="仿宋_GB2312"/>
                <w:b/>
                <w:color w:val="000000"/>
                <w:kern w:val="0"/>
                <w:sz w:val="22"/>
                <w:szCs w:val="22"/>
              </w:rPr>
              <w:t>建设年限</w:t>
            </w:r>
          </w:p>
        </w:tc>
        <w:tc>
          <w:tcPr>
            <w:tcW w:w="2217" w:type="dxa"/>
            <w:vAlign w:val="center"/>
          </w:tcPr>
          <w:p>
            <w:pPr>
              <w:widowControl/>
              <w:jc w:val="center"/>
              <w:rPr>
                <w:rFonts w:hint="eastAsia" w:ascii="仿宋_GB2312" w:hAnsi="仿宋_GB2312" w:eastAsia="仿宋_GB2312" w:cs="仿宋_GB2312"/>
                <w:b/>
                <w:color w:val="000000"/>
                <w:kern w:val="0"/>
                <w:sz w:val="22"/>
                <w:szCs w:val="22"/>
              </w:rPr>
            </w:pPr>
            <w:r>
              <w:rPr>
                <w:rFonts w:hint="eastAsia" w:ascii="仿宋_GB2312" w:hAnsi="仿宋_GB2312" w:eastAsia="仿宋_GB2312" w:cs="仿宋_GB2312"/>
                <w:b/>
                <w:color w:val="000000"/>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一、基础设施类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福州市三级政务节点机房建设</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区、县数字办</w:t>
            </w:r>
          </w:p>
        </w:tc>
        <w:tc>
          <w:tcPr>
            <w:tcW w:w="6902" w:type="dxa"/>
            <w:vAlign w:val="center"/>
          </w:tcPr>
          <w:p>
            <w:pPr>
              <w:widowControl/>
              <w:jc w:val="both"/>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在市级建设双活政务数据中心，建设内容包括机房土建及配套基础设施。在五区二市五县分别建设10个区县政务汇聚节点机房(备注：有两个县市区汇聚节点机房功能并入当地的市级政务数据中心统筹考虑)，每个机房约需50个机柜。在乡镇和街道一级建设政务接入节点机房，每个接入机房约需5个机柜，建设内容包括：机房装修、电力、空调、新风系统、机柜、消防、监控、网络布线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福州市双活政务云平台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云平台能够支持双活，通过购买云服务、扩容及改造自建政务云平台，为全市政务应用部署提供支撑。</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3"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福州市物联网公共服务平台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建设全市统一的物联网综合网关及配套软硬件系统，实现各类物联网的数据统一汇聚、管理。</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福州市智网工程</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在智网一期的基础上，继续健全完善智网的核心层、汇聚层、与省级政务外网及专网的边界、与互联网的边界，规范智网的接入层。</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全市域似大地水准面精化</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市国土局</w:t>
            </w:r>
          </w:p>
        </w:tc>
        <w:tc>
          <w:tcPr>
            <w:tcW w:w="6902" w:type="dxa"/>
            <w:vAlign w:val="center"/>
          </w:tcPr>
          <w:p>
            <w:pPr>
              <w:widowControl/>
              <w:jc w:val="both"/>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福州全市域似大地水准面精化，将全市似大地水准面精化提高至2.5-5cm</w:t>
            </w:r>
            <w:r>
              <w:rPr>
                <w:rFonts w:hint="eastAsia" w:ascii="仿宋_GB2312" w:hAnsi="仿宋_GB2312" w:eastAsia="仿宋_GB2312" w:cs="仿宋_GB2312"/>
                <w:color w:val="000000"/>
                <w:kern w:val="0"/>
                <w:sz w:val="22"/>
                <w:szCs w:val="22"/>
                <w:lang w:val="en-US" w:eastAsia="zh-CN"/>
              </w:rPr>
              <w:t>[</w:t>
            </w:r>
            <w:r>
              <w:rPr>
                <w:rFonts w:hint="eastAsia" w:ascii="仿宋_GB2312" w:hAnsi="仿宋_GB2312" w:eastAsia="仿宋_GB2312" w:cs="仿宋_GB2312"/>
                <w:color w:val="000000"/>
                <w:kern w:val="0"/>
                <w:sz w:val="22"/>
                <w:szCs w:val="22"/>
              </w:rPr>
              <w:t>“十三五”规划建成4643km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（全市域面积扣除“十二五”完成似大地水准面精化面积6953km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w:t>
            </w:r>
            <w:r>
              <w:rPr>
                <w:rFonts w:hint="eastAsia" w:ascii="仿宋_GB2312" w:hAnsi="仿宋_GB2312" w:eastAsia="仿宋_GB2312" w:cs="仿宋_GB2312"/>
                <w:color w:val="000000"/>
                <w:kern w:val="0"/>
                <w:sz w:val="22"/>
                <w:szCs w:val="22"/>
                <w:lang w:val="en-US" w:eastAsia="zh-CN"/>
              </w:rPr>
              <w:t>]</w:t>
            </w:r>
            <w:r>
              <w:rPr>
                <w:rFonts w:hint="eastAsia" w:ascii="仿宋_GB2312" w:hAnsi="仿宋_GB2312" w:eastAsia="仿宋_GB2312" w:cs="仿宋_GB2312"/>
                <w:color w:val="000000"/>
                <w:kern w:val="0"/>
                <w:sz w:val="22"/>
                <w:szCs w:val="22"/>
              </w:rPr>
              <w:t>。</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7"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福州市政务综合运维管理平台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在网络网管基础上，增加和完善机房环境监控、固资、派单管理、云平台、大数据平台、应用、安全监控等方面内容，建设一个架构开放、功能全面的运维管理平台。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6"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政务CA认证中心</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建设政务CA平台，为企业、市民、政府工作人员提供政务相关应用过程中所需的各类电子证书发放、身份认证、电子签章发放、验签等服务，让电子政务相关应用更安全、更便捷、更智能。</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8</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通用功能平台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通用功能平台利用云计算、大数据、物联网、数据融合、网络安全等技术，将城市应用的共性能力集成在一起，构建一个信息共享、开放、安全的通用能力平台，形成“统一资源、数据融合、促进综合、推进开放、保障安全”的开放通用信息环境。通用平台由城市数据资源、核心服务、数据服务和通用业务服务组成。</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FF"/>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二、网络信息安全类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9</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福州市政务网络安全防护体系</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区、县数字办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完成政务信息安全体系顶层设计建设，包含：网络安全、终端安全、应用安全、云安全、数据安全、账户管理、人员安全管理等；通过系统建设、人员培训和专业服务购买，使我市政务信息体系具备相当的防入侵、防渗透、防病毒、抗攻击能力；同时通过部署云安全能力，使体系能在复杂网络安全环境下，对各类潜在、未知的威胁和攻击及时做出响应。</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2"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10</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公共安全应用平台（公安云）</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市公安局</w:t>
            </w:r>
          </w:p>
        </w:tc>
        <w:tc>
          <w:tcPr>
            <w:tcW w:w="6902" w:type="dxa"/>
            <w:vAlign w:val="center"/>
          </w:tcPr>
          <w:p>
            <w:pPr>
              <w:widowControl/>
              <w:jc w:val="both"/>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1)新建基础资源云平台服务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2)新建平台支持服务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3)新建公共安全大数据服务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4)新建城市网络威胁感知</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5)新建反恐安全信息服务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6)新建反恐维稳应用服务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7)新建视频资源整合服务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8)新建公安视频实战应用服务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9)新建视频云平台</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10)新建摄像头等基础设施</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11)新建火车站公共安全服务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12)新建治安指挥调度服务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13)新建大数据安全服务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14)新建云平台安全服务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15)新建监所安防技术服务</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16)新建网安攻防实验室</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17)新建手机及Wi-Fi围栏侦控系统</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18)升级改造无线城市接入网</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19)新建人流预警分析平台</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20)新建无线生活服务平台</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21)新建防钓鱼和恶意Wi-Fi内容监测</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22)培育无线城市新兴产业。</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FF"/>
                <w:kern w:val="0"/>
                <w:sz w:val="22"/>
                <w:szCs w:val="2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6"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11</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国家信息中心360安全大数据开发与治理中心项目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市公安局</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长乐市</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与国家信息中心和奇虎科技有限公司合作，开发安全大数据资源，服务国家网络信息安全、经济安全等重大问题研究。</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《对接国家战略建设海上福州工作方案》（榕委发〔2016〕17号）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三、数据生产及回收类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12</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全市域机载激光LIDAR航空摄影</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both"/>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获取福州市高精度的航空影像和激光点云数据，涵盖福州市、长乐市、福清市、闽侯县、连江县、永泰县、闽清县、罗源县区域。面积约11596km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，目前福州市时空信息公共服务平台基础数据建设项目已经计划飞行400km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。影像优于0.16米，格网间距优于2.5米。</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1" w:hRule="atLeast"/>
          <w:jc w:val="center"/>
        </w:trPr>
        <w:tc>
          <w:tcPr>
            <w:tcW w:w="702" w:type="dxa"/>
            <w:vMerge w:val="restart"/>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13</w:t>
            </w:r>
          </w:p>
        </w:tc>
        <w:tc>
          <w:tcPr>
            <w:tcW w:w="1879" w:type="dxa"/>
            <w:vMerge w:val="restart"/>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数码航摄及正射影像图制作</w:t>
            </w:r>
          </w:p>
        </w:tc>
        <w:tc>
          <w:tcPr>
            <w:tcW w:w="2041" w:type="dxa"/>
            <w:vMerge w:val="restart"/>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福州市中心城区及新区规划范围优于0.04米航空摄影，5年2次</w:t>
            </w:r>
            <w:r>
              <w:rPr>
                <w:rFonts w:hint="eastAsia" w:ascii="仿宋_GB2312" w:hAnsi="仿宋_GB2312" w:eastAsia="仿宋_GB2312" w:cs="仿宋_GB2312"/>
                <w:color w:val="000000"/>
                <w:kern w:val="0"/>
                <w:sz w:val="22"/>
                <w:szCs w:val="22"/>
                <w:lang w:val="en-US" w:eastAsia="zh-CN"/>
              </w:rPr>
              <w:t>[</w:t>
            </w:r>
            <w:r>
              <w:rPr>
                <w:rFonts w:hint="eastAsia" w:ascii="仿宋_GB2312" w:hAnsi="仿宋_GB2312" w:eastAsia="仿宋_GB2312" w:cs="仿宋_GB2312"/>
                <w:color w:val="000000"/>
                <w:kern w:val="0"/>
                <w:sz w:val="22"/>
                <w:szCs w:val="22"/>
              </w:rPr>
              <w:t>福州市中心城区（包括</w:t>
            </w:r>
            <w:r>
              <w:rPr>
                <w:rFonts w:hint="eastAsia" w:ascii="仿宋_GB2312" w:hAnsi="仿宋_GB2312" w:eastAsia="仿宋_GB2312" w:cs="仿宋_GB2312"/>
                <w:color w:val="000000"/>
                <w:kern w:val="0"/>
                <w:sz w:val="22"/>
                <w:szCs w:val="22"/>
                <w:lang w:eastAsia="zh-CN"/>
              </w:rPr>
              <w:t>五</w:t>
            </w:r>
            <w:r>
              <w:rPr>
                <w:rFonts w:hint="eastAsia" w:ascii="仿宋_GB2312" w:hAnsi="仿宋_GB2312" w:eastAsia="仿宋_GB2312" w:cs="仿宋_GB2312"/>
                <w:color w:val="000000"/>
                <w:kern w:val="0"/>
                <w:sz w:val="22"/>
                <w:szCs w:val="22"/>
              </w:rPr>
              <w:t>区、上街、南屿、南通、荆溪）及新区面积1610km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lang w:val="en-US" w:eastAsia="zh-CN"/>
              </w:rPr>
              <w:t>]</w:t>
            </w:r>
            <w:r>
              <w:rPr>
                <w:rFonts w:hint="eastAsia" w:ascii="仿宋_GB2312" w:hAnsi="仿宋_GB2312" w:eastAsia="仿宋_GB2312" w:cs="仿宋_GB2312"/>
                <w:color w:val="000000"/>
                <w:kern w:val="0"/>
                <w:sz w:val="22"/>
                <w:szCs w:val="22"/>
              </w:rPr>
              <w:t xml:space="preserve">。 </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8" w:hRule="atLeast"/>
          <w:jc w:val="center"/>
        </w:trPr>
        <w:tc>
          <w:tcPr>
            <w:tcW w:w="702" w:type="dxa"/>
            <w:vMerge w:val="continue"/>
            <w:vAlign w:val="center"/>
          </w:tcPr>
          <w:p>
            <w:pPr>
              <w:widowControl/>
              <w:jc w:val="left"/>
              <w:rPr>
                <w:rFonts w:hint="eastAsia" w:ascii="仿宋_GB2312" w:hAnsi="仿宋_GB2312" w:eastAsia="仿宋_GB2312" w:cs="仿宋_GB2312"/>
                <w:color w:val="000000"/>
                <w:kern w:val="0"/>
                <w:sz w:val="22"/>
                <w:szCs w:val="22"/>
              </w:rPr>
            </w:pPr>
          </w:p>
        </w:tc>
        <w:tc>
          <w:tcPr>
            <w:tcW w:w="1879" w:type="dxa"/>
            <w:vMerge w:val="continue"/>
            <w:vAlign w:val="center"/>
          </w:tcPr>
          <w:p>
            <w:pPr>
              <w:widowControl/>
              <w:jc w:val="left"/>
              <w:rPr>
                <w:rFonts w:hint="eastAsia" w:ascii="仿宋_GB2312" w:hAnsi="仿宋_GB2312" w:eastAsia="仿宋_GB2312" w:cs="仿宋_GB2312"/>
                <w:color w:val="000000"/>
                <w:kern w:val="0"/>
                <w:sz w:val="22"/>
                <w:szCs w:val="22"/>
              </w:rPr>
            </w:pPr>
          </w:p>
        </w:tc>
        <w:tc>
          <w:tcPr>
            <w:tcW w:w="2041" w:type="dxa"/>
            <w:vMerge w:val="continue"/>
            <w:vAlign w:val="center"/>
          </w:tcPr>
          <w:p>
            <w:pPr>
              <w:widowControl/>
              <w:jc w:val="left"/>
              <w:rPr>
                <w:rFonts w:hint="eastAsia" w:ascii="仿宋_GB2312" w:hAnsi="仿宋_GB2312" w:eastAsia="仿宋_GB2312" w:cs="仿宋_GB2312"/>
                <w:color w:val="000000"/>
                <w:kern w:val="0"/>
                <w:sz w:val="22"/>
                <w:szCs w:val="22"/>
              </w:rPr>
            </w:pP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福州市城市规划区及新区范围优于0.2米航空摄影并制作1:2000正射影像图，5年5次（福州市城市规划面积4792km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，加上未覆盖新区面积514km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9" w:hRule="atLeast"/>
          <w:jc w:val="center"/>
        </w:trPr>
        <w:tc>
          <w:tcPr>
            <w:tcW w:w="702" w:type="dxa"/>
            <w:vMerge w:val="continue"/>
            <w:vAlign w:val="center"/>
          </w:tcPr>
          <w:p>
            <w:pPr>
              <w:widowControl/>
              <w:jc w:val="left"/>
              <w:rPr>
                <w:rFonts w:hint="eastAsia" w:ascii="仿宋_GB2312" w:hAnsi="仿宋_GB2312" w:eastAsia="仿宋_GB2312" w:cs="仿宋_GB2312"/>
                <w:color w:val="000000"/>
                <w:kern w:val="0"/>
                <w:sz w:val="22"/>
                <w:szCs w:val="22"/>
              </w:rPr>
            </w:pPr>
          </w:p>
        </w:tc>
        <w:tc>
          <w:tcPr>
            <w:tcW w:w="1879" w:type="dxa"/>
            <w:vMerge w:val="continue"/>
            <w:vAlign w:val="center"/>
          </w:tcPr>
          <w:p>
            <w:pPr>
              <w:widowControl/>
              <w:jc w:val="left"/>
              <w:rPr>
                <w:rFonts w:hint="eastAsia" w:ascii="仿宋_GB2312" w:hAnsi="仿宋_GB2312" w:eastAsia="仿宋_GB2312" w:cs="仿宋_GB2312"/>
                <w:color w:val="000000"/>
                <w:kern w:val="0"/>
                <w:sz w:val="22"/>
                <w:szCs w:val="22"/>
              </w:rPr>
            </w:pPr>
          </w:p>
        </w:tc>
        <w:tc>
          <w:tcPr>
            <w:tcW w:w="2041" w:type="dxa"/>
            <w:vMerge w:val="continue"/>
            <w:vAlign w:val="center"/>
          </w:tcPr>
          <w:p>
            <w:pPr>
              <w:widowControl/>
              <w:jc w:val="left"/>
              <w:rPr>
                <w:rFonts w:hint="eastAsia" w:ascii="仿宋_GB2312" w:hAnsi="仿宋_GB2312" w:eastAsia="仿宋_GB2312" w:cs="仿宋_GB2312"/>
                <w:color w:val="000000"/>
                <w:kern w:val="0"/>
                <w:sz w:val="22"/>
                <w:szCs w:val="22"/>
              </w:rPr>
            </w:pPr>
          </w:p>
        </w:tc>
        <w:tc>
          <w:tcPr>
            <w:tcW w:w="6902" w:type="dxa"/>
            <w:vAlign w:val="center"/>
          </w:tcPr>
          <w:p>
            <w:pPr>
              <w:widowControl/>
              <w:jc w:val="both"/>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福州市其他周边区域（全市域扣除城市规划区和福州新区）优于0.2米航空摄影并制作1:2000正射影像图，5年1次（全市域面积11596km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，扣除规划新区及城市规划区面积5306km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，剩下周边其他区域面积6290km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3"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14</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1:500地形图建设</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完成福州市中心城区及新区1:500数字线划图的生产、更新与数据建库</w:t>
            </w:r>
            <w:r>
              <w:rPr>
                <w:rFonts w:hint="eastAsia" w:ascii="仿宋_GB2312" w:hAnsi="仿宋_GB2312" w:eastAsia="仿宋_GB2312" w:cs="仿宋_GB2312"/>
                <w:color w:val="000000"/>
                <w:kern w:val="0"/>
                <w:sz w:val="22"/>
                <w:szCs w:val="22"/>
                <w:lang w:val="en-US" w:eastAsia="zh-CN"/>
              </w:rPr>
              <w:t>[</w:t>
            </w:r>
            <w:r>
              <w:rPr>
                <w:rFonts w:hint="eastAsia" w:ascii="仿宋_GB2312" w:hAnsi="仿宋_GB2312" w:eastAsia="仿宋_GB2312" w:cs="仿宋_GB2312"/>
                <w:color w:val="000000"/>
                <w:kern w:val="0"/>
                <w:sz w:val="22"/>
                <w:szCs w:val="22"/>
              </w:rPr>
              <w:t>政府划定新区面积800km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，加上福州市中心城区（包括</w:t>
            </w:r>
            <w:r>
              <w:rPr>
                <w:rFonts w:hint="eastAsia" w:ascii="仿宋_GB2312" w:hAnsi="仿宋_GB2312" w:eastAsia="仿宋_GB2312" w:cs="仿宋_GB2312"/>
                <w:color w:val="000000"/>
                <w:kern w:val="0"/>
                <w:sz w:val="22"/>
                <w:szCs w:val="22"/>
                <w:lang w:eastAsia="zh-CN"/>
              </w:rPr>
              <w:t>五</w:t>
            </w:r>
            <w:r>
              <w:rPr>
                <w:rFonts w:hint="eastAsia" w:ascii="仿宋_GB2312" w:hAnsi="仿宋_GB2312" w:eastAsia="仿宋_GB2312" w:cs="仿宋_GB2312"/>
                <w:color w:val="000000"/>
                <w:kern w:val="0"/>
                <w:sz w:val="22"/>
                <w:szCs w:val="22"/>
              </w:rPr>
              <w:t>区、上街、南屿、南通、荆溪）面积共计1610km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（扣除重复区），当前福州市中心城区基本都覆盖有1:500地形图，新区内覆盖有1:500地形图只有202km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，更新5年2次</w:t>
            </w:r>
            <w:r>
              <w:rPr>
                <w:rFonts w:hint="eastAsia" w:ascii="仿宋_GB2312" w:hAnsi="仿宋_GB2312" w:eastAsia="仿宋_GB2312" w:cs="仿宋_GB2312"/>
                <w:color w:val="000000"/>
                <w:kern w:val="0"/>
                <w:sz w:val="22"/>
                <w:szCs w:val="22"/>
                <w:lang w:val="en-US" w:eastAsia="zh-CN"/>
              </w:rPr>
              <w:t>]</w:t>
            </w:r>
            <w:r>
              <w:rPr>
                <w:rFonts w:hint="eastAsia" w:ascii="仿宋_GB2312" w:hAnsi="仿宋_GB2312" w:eastAsia="仿宋_GB2312" w:cs="仿宋_GB2312"/>
                <w:color w:val="000000"/>
                <w:kern w:val="0"/>
                <w:sz w:val="22"/>
                <w:szCs w:val="22"/>
              </w:rPr>
              <w:t>。</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15</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全市域1:2000数字高程模型（DEM）及三维地形模型生产与建库</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主要生产未覆盖区域的1:2000DEM，考虑到年代久远，同步完成覆盖区域的DEM更新（按照30%变化率更新）。覆盖区域福州市时空信息公共服务平台基础数据建设项目已经计划重建400km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,未覆盖区域7676km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，更新区域约1032km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16</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1:2000数字线划图（DLG）更新生产与建库</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主要对福州已建1:2000DLG数据库进行更新，目前1：2000DLG数据库覆盖范围约3920km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,为2013年福州大都市项目所建，2016年已更新480km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，剩余按照30%变化率进行更新。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17</w:t>
            </w:r>
          </w:p>
        </w:tc>
        <w:tc>
          <w:tcPr>
            <w:tcW w:w="1879" w:type="dxa"/>
            <w:vAlign w:val="center"/>
          </w:tcPr>
          <w:p>
            <w:pPr>
              <w:widowControl/>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国产卫星影像数据建设</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市国土局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利用国家测绘局下发的优于2.5米的卫星影像源片数据进行加工建设卫星正射影像，全市域11596km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w:t>
            </w:r>
            <w:r>
              <w:rPr>
                <w:rFonts w:hint="eastAsia" w:cs="仿宋_GB2312"/>
                <w:color w:val="000000"/>
                <w:kern w:val="0"/>
                <w:sz w:val="22"/>
                <w:szCs w:val="22"/>
                <w:lang w:eastAsia="zh-CN"/>
              </w:rPr>
              <w:t>“</w:t>
            </w:r>
            <w:bookmarkStart w:id="89" w:name="_GoBack"/>
            <w:r>
              <w:rPr>
                <w:rFonts w:hint="eastAsia" w:ascii="仿宋_GB2312" w:hAnsi="仿宋_GB2312" w:eastAsia="仿宋_GB2312" w:cs="仿宋_GB2312"/>
                <w:color w:val="000000"/>
                <w:kern w:val="0"/>
                <w:sz w:val="22"/>
                <w:szCs w:val="22"/>
              </w:rPr>
              <w:t>十三五</w:t>
            </w:r>
            <w:bookmarkEnd w:id="89"/>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期间要建设2次。</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18</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全市域电子地图建设</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全市域18－20级电子地图建设与更新，包括矢量电子地图与影像电子地图。一是加工生产福州市中心城区（包括</w:t>
            </w:r>
            <w:r>
              <w:rPr>
                <w:rFonts w:hint="eastAsia" w:ascii="仿宋_GB2312" w:hAnsi="仿宋_GB2312" w:eastAsia="仿宋_GB2312" w:cs="仿宋_GB2312"/>
                <w:color w:val="000000"/>
                <w:kern w:val="0"/>
                <w:sz w:val="22"/>
                <w:szCs w:val="22"/>
                <w:lang w:eastAsia="zh-CN"/>
              </w:rPr>
              <w:t>五</w:t>
            </w:r>
            <w:r>
              <w:rPr>
                <w:rFonts w:hint="eastAsia" w:ascii="仿宋_GB2312" w:hAnsi="仿宋_GB2312" w:eastAsia="仿宋_GB2312" w:cs="仿宋_GB2312"/>
                <w:color w:val="000000"/>
                <w:kern w:val="0"/>
                <w:sz w:val="22"/>
                <w:szCs w:val="22"/>
              </w:rPr>
              <w:t>区、上街、南屿、南通、荆溪）及新区1:500矢量电子地图1610km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，二是加工生产全市域1:2000矢量电子地图11596km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，三是加工生产全市域18-19级影像电子地图11596km</w:t>
            </w:r>
            <w:r>
              <w:rPr>
                <w:rFonts w:hint="eastAsia" w:ascii="仿宋_GB2312" w:hAnsi="仿宋_GB2312" w:eastAsia="仿宋_GB2312" w:cs="仿宋_GB2312"/>
                <w:color w:val="000000"/>
                <w:kern w:val="0"/>
                <w:sz w:val="22"/>
                <w:szCs w:val="22"/>
                <w:vertAlign w:val="superscript"/>
              </w:rPr>
              <w:t>2</w:t>
            </w:r>
            <w:r>
              <w:rPr>
                <w:rFonts w:hint="eastAsia" w:ascii="仿宋_GB2312" w:hAnsi="仿宋_GB2312" w:eastAsia="仿宋_GB2312" w:cs="仿宋_GB2312"/>
                <w:color w:val="000000"/>
                <w:kern w:val="0"/>
                <w:sz w:val="22"/>
                <w:szCs w:val="22"/>
              </w:rPr>
              <w:t>。</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19</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福州市创新地址要素管理项目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市公安局</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市民政局</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各县（市）区政府</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项目以福州市已有民政地址库、警用地址库、房产地址库为基础，以“金砖会议”安保要求为契机，结合福州市实际需求，进行全市域标准地址清理改造。在公安民政全面换挂二维码门楼牌基础上，建设标准地名地址及时空地址数据库，编制配套管理办法，研发管理服务平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政府数据资源梳理及共享开放目录编制</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梳理和更新政务信息资源目录、编制共享开放目录与指南。</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7"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21</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国家、省级部门数据回流及汇聚项</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通过对我市数据交换平台的升级改造，实现与越来越多国家及省级部门的数据对接和回流汇聚。</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22</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互联网及社会机构数据采集服务项目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通过政府购买服务等方式，向专业厂家、社会机构购买政府所需的互联网及社会采集数据。</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2"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23</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福州市“多规合一”空间数据建设项目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市规划局</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建成覆盖福州五区范围1026平方公里的1：2000正射影像图（DOM）、1：2000数字线划图（DLG）、福州五区范围无图区域409平方公里的1：2000政务电子地图。</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9"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24</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福州市规划综合应用平台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市规划局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建设内容：一是市县两级联动的规划网络建设；二是建设和完善规划数据体系；三是建设数据更新和保障机制；四是建设和完善相应的业务子系统，建设规划应用体系。</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四、物联网应用类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25</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福州市高清视频监控系统</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市公安局</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在福州市城区新建2.5万路高清视频监控探头（含存储设备），并搭建相应的管理平台。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26</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“平安福州”视频监控系统（“标改高”）项目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市公安局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内容：一是前端监控点位建设，改造升级标清监控点布设1500路高清监控摄像机；二是前端视频传输线路改造，在充分利旧的基础上改造升级标清监控点位至所属33个公安派出所视频传输线路，租赁公安派出所至4个城区数字办机房的视频传输专线，拉入政务外网（智网）视频子网；三是建设云存储系统，用于存储1500路高清监控摄像机的视频图像数据。</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32"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27</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福州城区治安卡口防控圈建设项目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市公安局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城区治安卡口防控圈的建设，将紧紧围绕“专业引领、全警应用、防控闭环”的建设目标，在原有已建的前端卡口设备接入、管理、初步应用基础上，整合各区县现有卡口资源，接入交警已建前端卡口资源；同时根据防控圈闭环的建设规划，新增上百路新型卡口进行闭环补充；形成一张闭环的大网，进行阶梯式的有效防控。同时，重点建设后端卡口的涉车大数据综合应用平台，并最终形成一个综合的车辆大数据中心，在大数据中心的基础上建设智能应用体系，通过技术手段构筑全覆盖、全天候的涉车防控体系，以信息化手段加强道路交通安全监管，从而提高整体效能。</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28</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食品安全综合监管及追溯平台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市市场监管局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以福建省食品药品“智能监管”一体化平台为主体，建设包括食品行政许可、监管、抽检监测、稽查执法、诚信管理、溯源管理、风险管理、应急管理、公共服务于一体的食品安全监管综合业务系统。开展肉类蔬菜流通追溯体系建设，结合农业、海洋渔业局等部门的食品追溯系统，建设全品类的食品溯源数据中心。</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《福州市市场监督管理局“十三五”信息化建设规划》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9"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29</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福州市电梯物联网应用工程</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市市场监管局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以电梯安全监管为纲，建一套电梯物联网应用平台。梳理有关电梯安全监管的物联网标准体系，并研究探索特种设备物联网标准动态维护机制，确保标准及标准体系的实时更新、维护。以标准体系为主线开展电梯物联网应用平台、前端信息采集、网络传输及系统软件建设工作。通过制定统一的数据接口标准，让不同品牌的电梯将监控数据实时接入我市电梯物联网市级平台，通过物联网平台向电梯应急救援平台传输电梯困人信息，实现电梯困人升级提速，进一步完善使用单位、维保单位、第三方社会力量共同配合的三级电梯应急救援体系。</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《福州市市场监督管理局“十三五”信息化建设规划》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五、大数据应用类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（一）国家新型城镇化专题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30</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国家新型城镇化大数据库</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市发改委</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抓住中国新型城镇化研究院成立和大数据库建设的契机，整合清华在新型城镇化方面的资源与技术优势，建立国家新型城镇化大数据库（福建），推动福州国家大数据综合试验区建设，为福州市城市治理、产业创新升级、创新创业插上“大数据”的翅膀，使福州成为全国新型城镇化大数据产业集聚中心。</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center"/>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（二）健康医疗专题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31</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人口健康信息平台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市卫计委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全面建设互通共享的人口健康信息平台，强化公共卫生、计划生育、医疗服务、医疗保障、药品供应、综合管理等应用信息系统数据采集、集成共享和业务协同。进一步健全和完善电子健康档案、电子病历、全员人口、三大基础数据库，建成健康医疗大数据汇聚平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9"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32</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电子病历应用及共享平台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市卫计委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加快推动三级医院的电子病历功能应用和共享交换平台建设，推进基于电子病历共享的大数据科研分析、辅助诊疗等应用，提高临床服务质量。</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33</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福州市家庭医生健康服务平台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市卫计委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以家庭医生签约服务为基础，以互联网+健康医疗应用为纽带，将社区的基本公共卫生服务与医院的临床诊疗服务相结合，针对糖尿病、高血压等特定疾病开展精细化的健康管理服务。同时，开展医疗机构移动化延伸服务，建立覆盖全生命周期的预防、治疗、康复和健康管理的一体化电子健康服务体系。</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34</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福州市区域影像及影像大数据平台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市卫计委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在全市已经配备基层检查设备的基础上建设区域影像平台，实现区域医疗机构影像的汇聚、调阅、归档，协同阅片，减少重复拍片，提升基层阅片能力，减少错、误诊率，并在影像汇聚的平台上开展影像大数据的应用开发。</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9"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35</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“互联网+医养结合”平台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市卫计委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聚焦大数据、云计算基础上老年人的医疗和健康管理，将移动终端、可穿戴设备、健康机能检测设备、远程医疗等手段，综合、全面地应用于包括“膳食处方、运动处方、情绪处方”等在内的个性化全套健康解决方案，并实现全程的信息化、数据化跟踪与反馈。</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1"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36</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福州市互联网医疗服务平台(互联网医院)</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市卫计委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建设统一的预约挂号平台，汇集二三级医院挂号资源池，提供网络、电话、APP、微信等多种预约挂号方式，实现统一的全时、全科、全程预约挂号。</w:t>
            </w:r>
            <w:r>
              <w:rPr>
                <w:rFonts w:hint="eastAsia" w:ascii="仿宋_GB2312" w:hAnsi="仿宋_GB2312" w:eastAsia="仿宋_GB2312" w:cs="仿宋_GB2312"/>
                <w:color w:val="000000"/>
                <w:kern w:val="0"/>
                <w:sz w:val="22"/>
                <w:szCs w:val="22"/>
              </w:rPr>
              <w:br w:type="textWrapping"/>
            </w:r>
            <w:r>
              <w:rPr>
                <w:rFonts w:hint="eastAsia" w:ascii="仿宋_GB2312" w:hAnsi="仿宋_GB2312" w:eastAsia="仿宋_GB2312" w:cs="仿宋_GB2312"/>
                <w:color w:val="000000"/>
                <w:kern w:val="0"/>
                <w:sz w:val="22"/>
                <w:szCs w:val="22"/>
              </w:rPr>
              <w:t>建设互联网医院，发挥优质医疗资源的引领作用，整合线上线下资源，构建互联网医院样板，开展互联网健康咨询、网上预约分诊、移动支付和检查检验结果查询、随访跟踪等服务，形成规范、共享、互信的诊疗流程，推广电子处方的外延应用，拓展患者买药渠道，有效减轻患者就医负担，建设远程电子处方平台，通过与各医院的信息系统进行对接，为零售药店提供调阅医生开具的电子处方功能。</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1"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37</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福州市分级诊疗与远程医疗协同平台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市卫计委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远程医疗集成平台，整合远程会诊、远程影像诊断、远程病理诊断、远程心电诊断服务，推进大医院与基层医疗卫生机构、全科医生与专科医生的数据资源共享和业务协同。在基层医疗卫生机构建立远程视频协作门诊，连接大医院专科医生，延伸放大医院服务能力，促进“重心下移、资源下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38</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检查检验结果互认监测平台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市卫计委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进一步扩大检查检验结果互认范围，同时加强对检查检验结果互认情况的监测和评估，避免重复检查检验，降低居民医疗负担。</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6"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39</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健康医疗教育管理平台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市卫计委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针对健康医疗教育规范化培训的整体培养过程细化，将数据进行量化储存、统计和分析，实现资源、信息共享，方便各培训人员、机构之间的沟通与交流。为培训人员的管理提供标准化管理模式，为管理决策提供科学依据。及时考核和成效反馈的网络医学教育资源开放共享，促进医务人员终身教育，提高医学专业人员职业素养和专业水平，提升社会公众健康医疗知识素养和生命科学、医学知识的普及。</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（三）海上福州专题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40</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海上丝绸之路海洋大数据中心</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长乐市、数字福建（长乐）暨VR产业园管委会牵头，市经信委、市商务局、市海渔局、市科技局、市环保局配合</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依托数字福建（长乐）产业园，规划建设国际化海洋数据共享平台，构建国际海洋数据库网络，建设智能海洋服务系统。运用互联网技术和云计算开发，创新海洋资源、技术、产业、环境、市场等涉海信息的搜集、整理、加工、整合与发布机制。</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《对接国家战略建设海上福州工作方案》（榕委发〔2016〕17号）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41</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智慧海洋云平台</w:t>
            </w:r>
          </w:p>
        </w:tc>
        <w:tc>
          <w:tcPr>
            <w:tcW w:w="2041"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xml:space="preserve"> 长乐市、数字福建（长乐）暨VR产业园管委会牵头，市经信委、市海渔局、市科技局、市环保局配合</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基于海上丝绸之路海洋大数据中心软硬件基础设施和信息服务体系，加强与中船重工研究机构合作，积极承担国家级科研项目，建立有自主知识产权的可持续开发利用的海洋信息云计算与云服务平台，为智慧海洋福建示范区提供服务。</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《对接国家战略建设海上福州工作方案》（榕委发〔2016〕17号）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6"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42</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多维可视化海洋信息管理平台</w:t>
            </w:r>
          </w:p>
        </w:tc>
        <w:tc>
          <w:tcPr>
            <w:tcW w:w="2041"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长乐市、数字福建（长乐）暨VR产业园管委会牵头，市经信委、市海渔局配合</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依托中国福建VR产业基地，综合利用VR技术与GIS地理信息技术，对海量数据进行集中有效管理，构建覆盖全省的海洋空间资源综合监管大平台，实现统一视图的海洋信息管理与服务产台。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《对接国家战略建设海上福州工作方案》（榕委发〔2016〕17号）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（四）政务服务专题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2"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43</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福州市政务大数据平台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内容包括大数据相关的软硬件平台建设，全市各类基础和专题数据库建设，购买互联网数据服务，政务大数据信息目录梳理更新、数据汇聚、接口对接、存储、管理、清洗、加工、数据交换、数据共享平台建设，县（市）区信用数据归集管理平台，大数据应用，城市服务总线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2"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44</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政务服务大数据平台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市行政服务中心管委会</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依托云计算、大数据相关技术，充分利用2007年以来沉淀在网上审批系统中的各类信息数据，深度挖掘城市建设、环境资源、文化教育、医疗健康、就业社保等各项政务服务数据，通过智能化融合，统一管理、分析研究、整合共享，形成政务服务大数据平台，为政府决策提供精准信息数据，让数据为企业、群众“跑腿办事”，服务我市招商引资。</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《福州市打造最优投资软环境的实施方案》（榕委办发〔2016〕34号）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六、政务信息化及信息惠民类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（一）公共服务平台专题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9"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45</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福州市时空信息公共服务平台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聚合三类城市时空信息，包括空间信息、动态信息和公共信息，解决政府信息资源的信息来源问题。对空间信息不足部分进行更新与补充：包括福州市地面三维模型生产400平方公里、建筑物数据库建设400平方公里和福州市室内三维模型试点数据库建设77万平方米。2)升级改造地理信息公共平台为时空信息公共服务平台。在全市统一时空基准下，构建横向覆盖福州市域的城市信息数据资源池，并建成纵向市/区/街道办/社区四级管理的城市信息基础支撑平台。3)建设三类服务支撑系统（空间信息服务支撑系统、动态信息服务支撑系统和公共信息服务支撑系统），面向全市为政府部门、行业管理机构、企事业单位以及社会公众提供城市时空信息服务，实现城市数据的汇交、存储、处理、应用、分析、挖掘、共享安全、更新等，支撑各行业的应用。4)建立四大运行保障体系（政策法规体系、标准规范体系、安全管理体系和运营服务体系）。5)加载七个典型智慧应用，指导示范各专业应用系统与平台的对接和数据的支撑调用。</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46</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xml:space="preserve">福州市社会信用体系建设 </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市发改委</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人民银行福州中心支行</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按照国家提出的“条块结合、属地服务、互联互通、全国交换”的要求，依托福建省公用信息平台，建设市级信用信息平台，提供各行业的信用信息互联互通，并与省里信用数据交换平台进行信用数据的交换与联通。</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47</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可信电子文件公共服务平台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为各类可信电子文件（含电子证照、票据、批文、档案等）提供生成、管理的平台。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48</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福州市市民公共服务平台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市审改办</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市行政服务中心管委会</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市智慧福州管理服务中心</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在“中国福州”门户网站基础上打造我市综合性市民公共服务平台，以市民一生各重要阶段的政府和社会公共服务需求为中心，健全市、区、街道、社区四级政务服务体系，融合全社会服务资源和市民身边的各种便捷服务渠道，面向市民提供政务服务、公共服务、便民服务等多元服务内容。</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49</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城市服务统一支付平台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为各类政务、民生事项提供安全可信的电子缴费支付渠道，市民卡清算平台、移动支付平台，推动无现金社会建设等。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（二）政务信息化专题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50</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综合协同办公系统</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推进全市统一政务协同办公系统建设，建设政务安全邮箱，推广移动办公以及各类无纸化办公应用。</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5"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51</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视频会议综合管理平台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1）建设软件视频交互平台，为日常和应急现场指挥调度、临时会议相关应用提供支撑。2）组建全市视频汇报系统，通过硬件视频会议终端、专线，为各级政务单位提供高质量、便捷的视频会议支撑</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 xml:space="preserve"> 3）增补相关政务视频会议终端。</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52</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智慧国土建设</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市国土局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福州市国土资源“一张图”和建立集“电子政务平台、综合监管平台、共享服务平台”为一体的我市国土资源网上办公平台，规划管理行为，创新监管方式，提升管理效能，实现国土资源的全程监管和高效配置，构建全市集数字化、网络化、智能化为一体的“智慧国土”。</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《福州市国土资源信息化专项规划》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8"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53</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福州住房公积金综合信息系统</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市公积金管理中心</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一套具备便捷服务、高效业务处理、支持异地转移和贷款、风险防控、决策支持、安全保障六方面内容的系统。系统架构按照国家电子政务总体框架要求进行分层和模块化设计，满足综合服务要求，实现业务应用逻辑统一，数据统一管理。整个系统包括对外业务办理系统，内部管理系统，综合服务平台系统，外部系统联网系统，结算数据应用系统接口，异地转移接续、贷款系统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8"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54</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“智慧安监”信息系统工程</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市安监局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健全完善“智慧安监”信息系统，重点建设市安全生产综合监管信息平台（二期）项目，推进县级和重点企业安全管理信息系统建设，实现安全监管网格化、信息化、数字化。建设安全培训示范视频课程项目，分行业领域建成安全培训示范视频课程 “网上超市”，实现安全生产优质培训资源社会共享。建设市安全生产诚信信息平台项目，实现安全生产诚信记录与各级公共信用信息平台及行业信用信息平台的互联互通。</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《福州市“十三五”安全生产专项规划》（榕政综〔2016〕279号）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33"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55</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“动中通”移动指挥平台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市消防支队</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一套集现场指挥调度、信息收集处理、指挥协同作战、辅助决策支持为一体的消防移动通信指挥平台，综合卫星、短波、专网、有线、无线等通信手段，组建一支灵活机动、功能全面、先进高效的灾害事故现场移动通信指挥保障小组，为消防部队灾害现场处置、后方决策指挥提供重要的情报、指令中转平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《福州市“十三五”消防事业发展规划》（榕政综〔2016〕350号）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56</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福州公安信息化建设项目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市公安局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从基础支撑环境建设、网侦技术手段建设、技术侦查手段建设，优化公安信息化整体架构，提高公安信息化应用的支撑能力，打造公安信息化的升级版。基础支撑平台建设方面，开展市级信息中心机房、信息中心虚拟化云计算平台、公安三级网和接入网升级改造、整合优化公安各类网络、公共信息网边界接入点集中数据交换监控系统、互联网安全边界接入平台及应用安全监测系统、公安信息网预警与安全监测平台、全市公安数据容灾备份、公安信息资源服务中心、警用地理信息基础平台(二期)、应急通信支撑系统11个小项建设。网侦技术手段建设方面(涉密，略)。技术侦查手段建设方面(涉密，略)。</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《关于印发2016年市级重点项目和福州新区重点项目目标责任表的通知》（榕委办〔2016〕17号）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（三）信息惠民及互联网＋政务服务专题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57</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社会治理体系及网格化管理平台建设</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市综治办</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包含e福州综合应急指挥平台建设、社区服务管理平台、福州市网格化服务管理平台。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9"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58</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中国福州门户提升工程</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网站集约化平台建设，打造建设集约、服务规范、应用便捷、资源共享、覆盖全市的统一门户。</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2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59</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福州市行政服务提升工程</w:t>
            </w:r>
          </w:p>
        </w:tc>
        <w:tc>
          <w:tcPr>
            <w:tcW w:w="2041"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市行政服务中心管理委员会</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行政服务综合管理平台，依托云计算、移动互联网、智能终端等新技术，建立起跨行政区域、跨部门、跨层级的全市统一行政服务综合管理平台。建设完善数据交换平台、协同业务服务系统、行政审批及公共服务事项梳理与管理系统和全市审批分析决策系统。建设全流程网上审批服务平台，建设企业公共服务系统、企业公共服务技术支撑系统、网上审批信息的共享系统、企业公共服务渠道应用，建设福州市公共资源电子交易平台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60</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市民一卡通</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建设内容包含新建统一身份认证系统；集成各运营主体的信息系统；新建在线充付管理系统；新建资金清算管理系统；运营管理系统等。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61</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福州市旅游电子信息系统项目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市旅游局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配合“数字福州”及福州智慧旅游城市建设，对现有旅游电子信息系统功能和内容进行优化升级，进一步开发福州市旅游局行业管理系统软件，实现对福州市所有旅行社、导游员的电子化管理；增加“一屏”建设，在福建省“数字电视”开辟福州旅游专属频道，提供本系统旅游相关信息查询及互动功能；探索福州旅游电子信息系统社会化运营合作机制，增加其社会效益，产生一定的经济效益。</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62</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海峡图书馆信息化及智能化建设项目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市图书馆</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具体包括：1）海峡图书馆新馆的智能化、自动化建设。2）新馆软硬件设备采购及系统集成、图书馆业务软件及应用系统开发等。3）新馆网络及安全平台建设。4）新馆监控及安防中心建设。5）新馆视听系统、会议系统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2"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63</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公共数字文化服务覆盖工程</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市文广新局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以文化信息资源共享、数字图书馆推广和公共电子阅览室三大公共数字文化服务为基础，结合“宽带中国”“智慧城市”等国家重大信息工程建设，建立公共数字文化服务平台，实现数字信息资源的社会共享。完善市、县（市）区两级数字信息资源平台建设，提升服务能力和服务效率。</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《公共文化服务体系示范区建设规划》（榕政综〔2016〕105号）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64</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金保工程二期建设</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市人社局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搭建统一的“互联网+人社”大平台，建设就业和社会保险公共服务平台和业务数据共享及分析决策大数据平台。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《福州市“十三五”人力资源和社会保障事业发展专项规划》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65</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智慧校园推进工程</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市教育局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重点打造15所智慧校园示范校、50所智慧校园试点学校。依托移动互联网、智能终端、大数据和云计算等新技术，建立“一站式”学校业务服务支持平台、个性化网络学习空间。利用物联网等技术，建设感知型智慧校园应用平台，推动课程、教材、教学、评价、管理等领域改革创新，实现教学应用各要素更加智能、高效地协作与互动，构建“绿色、环保”的智慧校园。</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《福州市“十三五”教育事业发展专项规划》（榕政综〔201</w:t>
            </w:r>
            <w:r>
              <w:rPr>
                <w:rFonts w:hint="eastAsia" w:ascii="仿宋_GB2312" w:hAnsi="仿宋_GB2312" w:eastAsia="仿宋_GB2312" w:cs="仿宋_GB2312"/>
                <w:color w:val="000000"/>
                <w:kern w:val="0"/>
                <w:sz w:val="22"/>
                <w:szCs w:val="22"/>
                <w:lang w:val="en-US" w:eastAsia="zh-CN"/>
              </w:rPr>
              <w:t>7</w:t>
            </w:r>
            <w:r>
              <w:rPr>
                <w:rFonts w:hint="eastAsia" w:ascii="仿宋_GB2312" w:hAnsi="仿宋_GB2312" w:eastAsia="仿宋_GB2312" w:cs="仿宋_GB2312"/>
                <w:color w:val="000000"/>
                <w:kern w:val="0"/>
                <w:sz w:val="22"/>
                <w:szCs w:val="22"/>
              </w:rPr>
              <w:t>〕4号）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3"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66</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物流信息平台提升工程</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市商务局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统一的通关一体化公共平台，实现通关一体化，形成对接口岸监管部门、政府相关部门、服务企业的公共数据交换及通关服务的单一窗口。推动龙头物流企业搭建面向中小物流企业的信息服务平台，推动一批行业性、区域性物流公共信息平台建设，促进货源、车源和物流服务等信息的高效匹配。依托各类物流公共信息平台，形成集物流信息发布、在线交易、数据交换、跟踪追溯、智能分析等功能为一体的物流信息服务中心，促进物流信息充分共享与互联互通。</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w:t>
            </w:r>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十三五</w:t>
            </w:r>
            <w:r>
              <w:rPr>
                <w:rFonts w:hint="eastAsia" w:cs="仿宋_GB2312"/>
                <w:color w:val="000000"/>
                <w:kern w:val="0"/>
                <w:sz w:val="22"/>
                <w:szCs w:val="22"/>
                <w:lang w:eastAsia="zh-CN"/>
              </w:rPr>
              <w:t>”</w:t>
            </w:r>
            <w:r>
              <w:rPr>
                <w:rFonts w:hint="eastAsia" w:ascii="仿宋_GB2312" w:hAnsi="仿宋_GB2312" w:eastAsia="仿宋_GB2312" w:cs="仿宋_GB2312"/>
                <w:color w:val="000000"/>
                <w:kern w:val="0"/>
                <w:sz w:val="22"/>
                <w:szCs w:val="22"/>
              </w:rPr>
              <w:t>物流业发展规划》（榕政综〔201</w:t>
            </w:r>
            <w:r>
              <w:rPr>
                <w:rFonts w:hint="eastAsia" w:ascii="仿宋_GB2312" w:hAnsi="仿宋_GB2312" w:eastAsia="仿宋_GB2312" w:cs="仿宋_GB2312"/>
                <w:color w:val="000000"/>
                <w:kern w:val="0"/>
                <w:sz w:val="22"/>
                <w:szCs w:val="22"/>
                <w:lang w:val="en-US" w:eastAsia="zh-CN"/>
              </w:rPr>
              <w:t>7</w:t>
            </w:r>
            <w:r>
              <w:rPr>
                <w:rFonts w:hint="eastAsia" w:ascii="仿宋_GB2312" w:hAnsi="仿宋_GB2312" w:eastAsia="仿宋_GB2312" w:cs="仿宋_GB2312"/>
                <w:color w:val="000000"/>
                <w:kern w:val="0"/>
                <w:sz w:val="22"/>
                <w:szCs w:val="22"/>
              </w:rPr>
              <w:t>〕34号）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3"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67</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电商物流公共信息平台建设工程</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市商务局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至2020年，建立1个服务于电商物流的公共信息平台，满足政府职能部门、电子商务企业、电商物流企业、最终用户之间的信息发布、查询、交换需求，鼓励行业间、企业间相关信息互联互通，推动形成物流节点、物流配送、口岸物流管理、物流市场需求有机衔接的信息对接机制。支持建设与物流公共信息平台配套的数据库。</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《福州市电子商务物流发展规划（2016－2020年）》（榕政综〔201</w:t>
            </w:r>
            <w:r>
              <w:rPr>
                <w:rFonts w:hint="eastAsia" w:ascii="仿宋_GB2312" w:hAnsi="仿宋_GB2312" w:eastAsia="仿宋_GB2312" w:cs="仿宋_GB2312"/>
                <w:color w:val="000000"/>
                <w:kern w:val="0"/>
                <w:sz w:val="22"/>
                <w:szCs w:val="22"/>
                <w:lang w:val="en-US" w:eastAsia="zh-CN"/>
              </w:rPr>
              <w:t>7</w:t>
            </w:r>
            <w:r>
              <w:rPr>
                <w:rFonts w:hint="eastAsia" w:ascii="仿宋_GB2312" w:hAnsi="仿宋_GB2312" w:eastAsia="仿宋_GB2312" w:cs="仿宋_GB2312"/>
                <w:color w:val="000000"/>
                <w:kern w:val="0"/>
                <w:sz w:val="22"/>
                <w:szCs w:val="22"/>
              </w:rPr>
              <w:t>〕34号）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（四）交通治堵专题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68</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福州市交通信息化项目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市交通委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建设福州市智能公共交通系统工程、出租汽车服务管理信息系统试点工程、福州综合交通运行监测调度中心(TOCC应急指挥)、交通枢纽场站智能化服务系统等项目。</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《关于印发2016年市级重点项目和福州新区重点项目目标责任表的通知》（榕委办〔201</w:t>
            </w:r>
            <w:r>
              <w:rPr>
                <w:rFonts w:hint="eastAsia" w:ascii="仿宋_GB2312" w:hAnsi="仿宋_GB2312" w:eastAsia="仿宋_GB2312" w:cs="仿宋_GB2312"/>
                <w:color w:val="000000"/>
                <w:kern w:val="0"/>
                <w:sz w:val="22"/>
                <w:szCs w:val="22"/>
                <w:lang w:val="en-US" w:eastAsia="zh-CN"/>
              </w:rPr>
              <w:t>6</w:t>
            </w:r>
            <w:r>
              <w:rPr>
                <w:rFonts w:hint="eastAsia" w:ascii="仿宋_GB2312" w:hAnsi="仿宋_GB2312" w:eastAsia="仿宋_GB2312" w:cs="仿宋_GB2312"/>
                <w:color w:val="000000"/>
                <w:kern w:val="0"/>
                <w:sz w:val="22"/>
                <w:szCs w:val="22"/>
              </w:rPr>
              <w:t>〕17号）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69</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停车诱导系统</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市交警支队</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以多级信息发布为载体，实时提供停车场（库）的位置、车位数、空满状态等信息，指引驾驶员停车。由三部分组成：停车场数据收集系统、数据处理判断处理系统、停车场数据综合发布系统。</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cs="仿宋_GB2312"/>
                <w:color w:val="000000"/>
                <w:kern w:val="0"/>
                <w:sz w:val="22"/>
                <w:szCs w:val="22"/>
                <w:lang w:eastAsia="zh-CN"/>
              </w:rPr>
              <w:t>关于印发</w:t>
            </w:r>
            <w:r>
              <w:rPr>
                <w:rFonts w:hint="eastAsia" w:cs="仿宋_GB2312"/>
                <w:color w:val="000000"/>
                <w:kern w:val="0"/>
                <w:sz w:val="22"/>
                <w:szCs w:val="22"/>
                <w:lang w:val="en-US" w:eastAsia="zh-CN"/>
              </w:rPr>
              <w:t>&lt;</w:t>
            </w:r>
            <w:r>
              <w:rPr>
                <w:rFonts w:hint="eastAsia" w:ascii="仿宋_GB2312" w:hAnsi="仿宋_GB2312" w:eastAsia="仿宋_GB2312" w:cs="仿宋_GB2312"/>
                <w:color w:val="000000"/>
                <w:kern w:val="0"/>
                <w:sz w:val="22"/>
                <w:szCs w:val="22"/>
              </w:rPr>
              <w:t>福州市优化综合交通体系建设方案</w:t>
            </w:r>
            <w:r>
              <w:rPr>
                <w:rFonts w:hint="eastAsia" w:cs="仿宋_GB2312"/>
                <w:color w:val="000000"/>
                <w:kern w:val="0"/>
                <w:sz w:val="22"/>
                <w:szCs w:val="22"/>
                <w:lang w:val="en-US" w:eastAsia="zh-CN"/>
              </w:rPr>
              <w:t>&gt;的通知</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b w:val="0"/>
                <w:bCs w:val="0"/>
                <w:color w:val="000000"/>
                <w:kern w:val="0"/>
                <w:sz w:val="22"/>
                <w:szCs w:val="22"/>
              </w:rPr>
              <w:t>（榕委办</w:t>
            </w:r>
            <w:r>
              <w:rPr>
                <w:rFonts w:hint="eastAsia" w:cs="仿宋_GB2312"/>
                <w:b w:val="0"/>
                <w:bCs w:val="0"/>
                <w:color w:val="000000"/>
                <w:kern w:val="0"/>
                <w:sz w:val="22"/>
                <w:szCs w:val="22"/>
                <w:lang w:eastAsia="zh-CN"/>
              </w:rPr>
              <w:t>〔</w:t>
            </w:r>
            <w:r>
              <w:rPr>
                <w:rFonts w:hint="eastAsia" w:cs="仿宋_GB2312"/>
                <w:b w:val="0"/>
                <w:bCs w:val="0"/>
                <w:color w:val="000000"/>
                <w:kern w:val="0"/>
                <w:sz w:val="22"/>
                <w:szCs w:val="22"/>
                <w:lang w:val="en-US" w:eastAsia="zh-CN"/>
              </w:rPr>
              <w:t>2017</w:t>
            </w:r>
            <w:r>
              <w:rPr>
                <w:rFonts w:hint="eastAsia" w:cs="仿宋_GB2312"/>
                <w:b w:val="0"/>
                <w:bCs w:val="0"/>
                <w:color w:val="000000"/>
                <w:kern w:val="0"/>
                <w:sz w:val="22"/>
                <w:szCs w:val="22"/>
                <w:lang w:eastAsia="zh-CN"/>
              </w:rPr>
              <w:t>〕</w:t>
            </w:r>
            <w:r>
              <w:rPr>
                <w:rFonts w:hint="eastAsia" w:ascii="仿宋_GB2312" w:hAnsi="仿宋_GB2312" w:eastAsia="仿宋_GB2312" w:cs="仿宋_GB2312"/>
                <w:b w:val="0"/>
                <w:bCs w:val="0"/>
                <w:color w:val="000000"/>
                <w:kern w:val="0"/>
                <w:sz w:val="22"/>
                <w:szCs w:val="22"/>
              </w:rPr>
              <w:t>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70</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道路交通信息发布平台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市交警支队</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依托现有公安交通指挥中心，建设一个道路交通信息发布平台。</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cs="仿宋_GB2312"/>
                <w:color w:val="000000"/>
                <w:kern w:val="0"/>
                <w:sz w:val="22"/>
                <w:szCs w:val="22"/>
                <w:lang w:eastAsia="zh-CN"/>
              </w:rPr>
              <w:t>关于印发</w:t>
            </w:r>
            <w:r>
              <w:rPr>
                <w:rFonts w:hint="eastAsia" w:cs="仿宋_GB2312"/>
                <w:color w:val="000000"/>
                <w:kern w:val="0"/>
                <w:sz w:val="22"/>
                <w:szCs w:val="22"/>
                <w:lang w:val="en-US" w:eastAsia="zh-CN"/>
              </w:rPr>
              <w:t>&lt;</w:t>
            </w:r>
            <w:r>
              <w:rPr>
                <w:rFonts w:hint="eastAsia" w:ascii="仿宋_GB2312" w:hAnsi="仿宋_GB2312" w:eastAsia="仿宋_GB2312" w:cs="仿宋_GB2312"/>
                <w:color w:val="000000"/>
                <w:kern w:val="0"/>
                <w:sz w:val="22"/>
                <w:szCs w:val="22"/>
              </w:rPr>
              <w:t>福州市优化综合交通体系建设方案</w:t>
            </w:r>
            <w:r>
              <w:rPr>
                <w:rFonts w:hint="eastAsia" w:cs="仿宋_GB2312"/>
                <w:color w:val="000000"/>
                <w:kern w:val="0"/>
                <w:sz w:val="22"/>
                <w:szCs w:val="22"/>
                <w:lang w:val="en-US" w:eastAsia="zh-CN"/>
              </w:rPr>
              <w:t>&gt;的通知</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b w:val="0"/>
                <w:bCs w:val="0"/>
                <w:color w:val="000000"/>
                <w:kern w:val="0"/>
                <w:sz w:val="22"/>
                <w:szCs w:val="22"/>
              </w:rPr>
              <w:t>（榕委办</w:t>
            </w:r>
            <w:r>
              <w:rPr>
                <w:rFonts w:hint="eastAsia" w:cs="仿宋_GB2312"/>
                <w:b w:val="0"/>
                <w:bCs w:val="0"/>
                <w:color w:val="000000"/>
                <w:kern w:val="0"/>
                <w:sz w:val="22"/>
                <w:szCs w:val="22"/>
                <w:lang w:eastAsia="zh-CN"/>
              </w:rPr>
              <w:t>〔</w:t>
            </w:r>
            <w:r>
              <w:rPr>
                <w:rFonts w:hint="eastAsia" w:cs="仿宋_GB2312"/>
                <w:b w:val="0"/>
                <w:bCs w:val="0"/>
                <w:color w:val="000000"/>
                <w:kern w:val="0"/>
                <w:sz w:val="22"/>
                <w:szCs w:val="22"/>
                <w:lang w:val="en-US" w:eastAsia="zh-CN"/>
              </w:rPr>
              <w:t>2017</w:t>
            </w:r>
            <w:r>
              <w:rPr>
                <w:rFonts w:hint="eastAsia" w:cs="仿宋_GB2312"/>
                <w:b w:val="0"/>
                <w:bCs w:val="0"/>
                <w:color w:val="000000"/>
                <w:kern w:val="0"/>
                <w:sz w:val="22"/>
                <w:szCs w:val="22"/>
                <w:lang w:eastAsia="zh-CN"/>
              </w:rPr>
              <w:t>〕</w:t>
            </w:r>
            <w:r>
              <w:rPr>
                <w:rFonts w:hint="eastAsia" w:ascii="仿宋_GB2312" w:hAnsi="仿宋_GB2312" w:eastAsia="仿宋_GB2312" w:cs="仿宋_GB2312"/>
                <w:b w:val="0"/>
                <w:bCs w:val="0"/>
                <w:color w:val="000000"/>
                <w:kern w:val="0"/>
                <w:sz w:val="22"/>
                <w:szCs w:val="22"/>
              </w:rPr>
              <w:t>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（五）新区、自贸区、跨境电商专题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71</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福州新区行政审批综合服务信息平台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福州新区管委会</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包括行政审批系统1套、应用支撑平台1套,系统数据交换包括与省投资项目在线监管平台对接等，数据实施工作包括121大项229个行政许可事项定制等。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72</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福建自贸区福州片区监管信息共享平台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中国（福建）自由贸易试验区福州片区管委会</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建设内容主要包括5个部分，一是市场监管目录调研与编制，二是市场监管信息共享系统，三是市场监管对外展示网站，四是市场监管数据交换系统和市场监管信息数据库等。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73</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中国（福建）自由贸易试验区福州片区行政审批综合服务信息平台升级改造项目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中国（福建）自由贸易试验区福州片区管委会</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建设内容主要包括与商务部数据进行对接、与省级空间地理数据系统对接、与福建省政府投资项目在线监管平台业务对接、与福州市电子证照系统对接、与福建省网上办事大厅对接、无纸化办公系统对接等。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2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74</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中国（福建）自由贸易试验区福州片区行政审批综合服务信息平台建设项目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中国（福建）自由贸易试验区福州片区管委会</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建设内容主要包括：建设基础支撑云平台、建设中国（福建）自由贸易试验区福州片区在线一口受理入口系统、建设中国福建自贸区（福州片区）一口受理平台等。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75</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福州市跨境电子商务公共服务平台升级改造项目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市商务局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借助目前国家的政策优势，整合各地方跨境通业务优势和数据优势，形成一个跨境电商统一的跨境贸易电子商务公共服务平台，作为数据沉淀和数据统计分析的大数据沉淀平台，将数据提供给政府部门作为数据参考，通过跨境公共服务平台提供资讯，打通企业业务单证申报通道，提供相关的公共服务给政府</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企业，促进传统贸易企业向跨境贸易电子商务企业转型，助力中小企业发展，最终落实国家“一带一路”的打通关政策。</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8"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76</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福州市跨境电子商务公共服务平台检验检疫监管信息系统</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市商务局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实现企业备案、商品备案、交易单据信息管理、诚信管理、风险管理、检验监管管理、质量按照风险监控及溯源管理等功能。发挥检验检疫自身职能优势，借助电子商务公共服务平台简化企业申报程序，实施无障碍申报的应用，依托信息化平台实现跨境电子商务商品负面清单监管的实施，以进口产品质量标准为基础，与产品标准化备案信息相结合，为企业和社会提供公共服务。</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（六）军民融合专题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1"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77</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“榕兵一号” 一网三终端信息系统</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智慧福州管理服务中心</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福州警备区</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1)升级完善“榕兵一号”信息服务系统。2)升级完善“榕兵一号”互动交流系统。3)升级完善“榕兵一号”实时指挥系统。4)新建“一网三终端”系统。5)升级完善“榕兵一号”专用网络与硬件设备。</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2016年数字福州建设项目表</w:t>
            </w:r>
            <w:r>
              <w:rPr>
                <w:rFonts w:hint="eastAsia" w:ascii="仿宋_GB2312" w:hAnsi="仿宋_GB2312" w:eastAsia="仿宋_GB2312" w:cs="仿宋_GB2312"/>
                <w:color w:val="000000"/>
                <w:kern w:val="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78</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福州市GNSS北斗升级改造</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市数字办</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福州市GNSS改造，建成以北斗信号为主，兼顾GPS、GLONASS信号的多模卫星导航定位基准服务系统。主要为更新基站的设备</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基础软件</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北斗解算等。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2018-2020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1"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79</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海洋渔业北斗应用项目</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市安监局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推动全市44.1千瓦以上的海洋捕捞渔船100%安装、使用北斗海事一体化船载终端。</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《福州市“十三五”安全生产专项规划》（榕政综〔</w:t>
            </w:r>
            <w:r>
              <w:rPr>
                <w:rFonts w:hint="eastAsia" w:ascii="仿宋_GB2312" w:hAnsi="仿宋_GB2312" w:eastAsia="仿宋_GB2312" w:cs="仿宋_GB2312"/>
                <w:color w:val="000000"/>
                <w:kern w:val="0"/>
                <w:sz w:val="22"/>
                <w:szCs w:val="22"/>
                <w:lang w:val="en-US" w:eastAsia="zh-CN"/>
              </w:rPr>
              <w:t>2016</w:t>
            </w:r>
            <w:r>
              <w:rPr>
                <w:rFonts w:hint="eastAsia" w:ascii="仿宋_GB2312" w:hAnsi="仿宋_GB2312" w:eastAsia="仿宋_GB2312" w:cs="仿宋_GB2312"/>
                <w:color w:val="000000"/>
                <w:kern w:val="0"/>
                <w:sz w:val="22"/>
                <w:szCs w:val="22"/>
              </w:rPr>
              <w:t>〕279号）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4947" w:type="dxa"/>
            <w:gridSpan w:val="6"/>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七、生态保护类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7"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80</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福州名城保护管理平台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市名城委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以福州历史文化名城保护规划为准，主要包括福州市中心城区中的历史文化街区</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 xml:space="preserve">历史文化风貌区、历史文化名镇名村以及历史城区。一期建设内容为福州名城基础资料信息管理系统、福州名城信息网站等系统研发以及相关基础数据规范化汇总入库工作。 </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81</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福州市智慧公园建设</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市园林局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对福州市40座公园进行基础设施普查，制作公园内部的电子地图、游览路线、图文介绍、语音讲解，花草树木二维码，空中地面全景，结合环境监测设备、多媒体触摸屏等设备及周边数据向游客提供公园实时状况，通过建设公园游览服务平台来为游客提供智慧游览服务，建设公园管理维护平台来精细化、规范化管理公园运维工作，以全面提升公园服务品质。</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2017-2019</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4"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82</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福州市排水设施信息化平台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市排水管理中心</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市建委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开展排水设施信息化，布置重要雨水井水点水位监测点，沿河水位传感监控，管网水位、水质及可燃气体监控，路面积水监控，水淹模型验算系统等。</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2016-2018</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《福州市城区水系综合治理工作方案》（榕委办发〔</w:t>
            </w:r>
            <w:r>
              <w:rPr>
                <w:rFonts w:hint="eastAsia" w:ascii="仿宋_GB2312" w:hAnsi="仿宋_GB2312" w:eastAsia="仿宋_GB2312" w:cs="仿宋_GB2312"/>
                <w:color w:val="000000"/>
                <w:kern w:val="0"/>
                <w:sz w:val="22"/>
                <w:szCs w:val="22"/>
                <w:lang w:val="en-US" w:eastAsia="zh-CN"/>
              </w:rPr>
              <w:t>2016</w:t>
            </w:r>
            <w:r>
              <w:rPr>
                <w:rFonts w:hint="eastAsia" w:ascii="仿宋_GB2312" w:hAnsi="仿宋_GB2312" w:eastAsia="仿宋_GB2312" w:cs="仿宋_GB2312"/>
                <w:color w:val="000000"/>
                <w:kern w:val="0"/>
                <w:sz w:val="22"/>
                <w:szCs w:val="22"/>
              </w:rPr>
              <w:t>〕30号）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8"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83</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福州市城区防涝与水系调度管理平台</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市排水管理中心</w:t>
            </w:r>
          </w:p>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市建委</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项目范围：福州市晋安区、鼓楼区、台江区、仓山区。数据库建设：现有排水数据库数据梳理、新增排水管线补测、排水管线专题数据录入、排水防涝数据加工、管道检测影像数据加工。2）平台建设：多元化排水设施数据检核更新系统；排水管网清淤疏浚健康保障系统；排水设施传感网实时监测系统</w:t>
            </w:r>
            <w:r>
              <w:rPr>
                <w:rFonts w:hint="eastAsia" w:ascii="仿宋_GB2312" w:hAnsi="仿宋_GB2312" w:eastAsia="仿宋_GB2312" w:cs="仿宋_GB2312"/>
                <w:color w:val="000000"/>
                <w:kern w:val="0"/>
                <w:sz w:val="22"/>
                <w:szCs w:val="22"/>
                <w:lang w:eastAsia="zh-CN"/>
              </w:rPr>
              <w:t>；</w:t>
            </w:r>
            <w:r>
              <w:rPr>
                <w:rFonts w:hint="eastAsia" w:ascii="仿宋_GB2312" w:hAnsi="仿宋_GB2312" w:eastAsia="仿宋_GB2312" w:cs="仿宋_GB2312"/>
                <w:color w:val="000000"/>
                <w:kern w:val="0"/>
                <w:sz w:val="22"/>
                <w:szCs w:val="22"/>
              </w:rPr>
              <w:t>城市排水防涝智能分析系统；移动排水管网辅助决策系统；三维排水管网系统；海绵城市管控系统。3）感知层建设：液位监测设备；路面积水监测设备；水质、可燃气体监测设备；井盖监控设备。4）模型建设：气象模型；水文模型；水利模型；管网模型；内涝模型；内河水质模型；群闸调度模型。</w:t>
            </w:r>
          </w:p>
        </w:tc>
        <w:tc>
          <w:tcPr>
            <w:tcW w:w="1206"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2017年新申报项目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40" w:hRule="atLeast"/>
          <w:jc w:val="center"/>
        </w:trPr>
        <w:tc>
          <w:tcPr>
            <w:tcW w:w="702"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84</w:t>
            </w:r>
          </w:p>
        </w:tc>
        <w:tc>
          <w:tcPr>
            <w:tcW w:w="1879"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福州市气象信息网络保障系统</w:t>
            </w:r>
          </w:p>
        </w:tc>
        <w:tc>
          <w:tcPr>
            <w:tcW w:w="2041" w:type="dxa"/>
            <w:vAlign w:val="center"/>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市气象局</w:t>
            </w:r>
          </w:p>
        </w:tc>
        <w:tc>
          <w:tcPr>
            <w:tcW w:w="6902"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建设内容包括：气象防灾减灾网络系统建设、气象防灾减灾数据系统建设、气象防灾减灾支撑系统建设、气象防灾减灾预报预警业务系统建设、气象防灾减灾基础保障能力建设、气象防灾减灾服务能力建设、气象防灾减灾保障系统建设等。</w:t>
            </w:r>
          </w:p>
        </w:tc>
        <w:tc>
          <w:tcPr>
            <w:tcW w:w="1206"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2016-2020</w:t>
            </w:r>
          </w:p>
        </w:tc>
        <w:tc>
          <w:tcPr>
            <w:tcW w:w="2217" w:type="dxa"/>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b w:val="0"/>
                <w:bCs w:val="0"/>
                <w:color w:val="000000"/>
                <w:kern w:val="0"/>
                <w:sz w:val="22"/>
                <w:szCs w:val="22"/>
              </w:rPr>
              <w:t>《福州市气象信息网络保障系统专项规划》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4947" w:type="dxa"/>
            <w:gridSpan w:val="6"/>
            <w:vMerge w:val="restart"/>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备注：表中所列项目（工程）实行滚动管理，在实施中按权限和程序报批；同类项目（工程）之间若有冲突，以有权机关审批或核准的项目（工程）为准。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jc w:val="center"/>
        </w:trPr>
        <w:tc>
          <w:tcPr>
            <w:tcW w:w="14947" w:type="dxa"/>
            <w:gridSpan w:val="6"/>
            <w:vMerge w:val="continue"/>
            <w:vAlign w:val="center"/>
          </w:tcPr>
          <w:p>
            <w:pPr>
              <w:widowControl/>
              <w:jc w:val="left"/>
              <w:rPr>
                <w:rFonts w:hint="eastAsia" w:ascii="仿宋_GB2312" w:hAnsi="仿宋_GB2312" w:eastAsia="仿宋_GB2312" w:cs="仿宋_GB2312"/>
                <w:color w:val="000000"/>
                <w:kern w:val="0"/>
                <w:sz w:val="22"/>
                <w:szCs w:val="22"/>
              </w:rPr>
            </w:pPr>
          </w:p>
        </w:tc>
      </w:tr>
    </w:tbl>
    <w:p>
      <w:pPr>
        <w:spacing w:line="576" w:lineRule="exact"/>
        <w:rPr>
          <w:rFonts w:hint="eastAsia" w:ascii="仿宋" w:hAnsi="仿宋" w:eastAsia="仿宋"/>
        </w:rPr>
      </w:pPr>
    </w:p>
    <w:p>
      <w:pPr>
        <w:rPr>
          <w:rFonts w:hint="eastAsia"/>
        </w:rPr>
        <w:sectPr>
          <w:pgSz w:w="16838" w:h="11906" w:orient="landscape"/>
          <w:pgMar w:top="1587" w:right="2098" w:bottom="1417" w:left="1587" w:header="850" w:footer="1361" w:gutter="0"/>
          <w:pgNumType w:fmt="decimal"/>
          <w:cols w:space="720" w:num="1"/>
          <w:rtlGutter w:val="0"/>
          <w:docGrid w:type="linesAndChars" w:linePitch="593" w:charSpace="-425"/>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sz w:val="24"/>
      </w:rPr>
    </w:pPr>
    <w:r>
      <w:rPr>
        <w:sz w:val="24"/>
      </w:rPr>
      <mc:AlternateContent>
        <mc:Choice Requires="wps">
          <w:drawing>
            <wp:anchor distT="0" distB="0" distL="114300" distR="114300" simplePos="0" relativeHeight="251658240" behindDoc="0" locked="0" layoutInCell="1" allowOverlap="1">
              <wp:simplePos x="0" y="0"/>
              <wp:positionH relativeFrom="margin">
                <wp:posOffset>4796790</wp:posOffset>
              </wp:positionH>
              <wp:positionV relativeFrom="paragraph">
                <wp:posOffset>-276225</wp:posOffset>
              </wp:positionV>
              <wp:extent cx="819150" cy="428625"/>
              <wp:effectExtent l="0" t="0" r="0" b="0"/>
              <wp:wrapNone/>
              <wp:docPr id="3" name="文本框 2"/>
              <wp:cNvGraphicFramePr/>
              <a:graphic xmlns:a="http://schemas.openxmlformats.org/drawingml/2006/main">
                <a:graphicData uri="http://schemas.microsoft.com/office/word/2010/wordprocessingShape">
                  <wps:wsp>
                    <wps:cNvSpPr txBox="1"/>
                    <wps:spPr>
                      <a:xfrm>
                        <a:off x="0" y="0"/>
                        <a:ext cx="819150" cy="428625"/>
                      </a:xfrm>
                      <a:prstGeom prst="rect">
                        <a:avLst/>
                      </a:prstGeom>
                      <a:noFill/>
                      <a:ln w="15875">
                        <a:noFill/>
                      </a:ln>
                    </wps:spPr>
                    <wps:txbx>
                      <w:txbxContent>
                        <w:p>
                          <w:pPr>
                            <w:snapToGrid w:val="0"/>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sz w:val="28"/>
                              <w:szCs w:val="28"/>
                            </w:rPr>
                            <w:t>V</w:t>
                          </w:r>
                          <w:r>
                            <w:rPr>
                              <w:rFonts w:hint="eastAsia"/>
                              <w:sz w:val="28"/>
                              <w:szCs w:val="28"/>
                              <w:lang w:eastAsia="zh-CN"/>
                            </w:rPr>
                            <w:fldChar w:fldCharType="end"/>
                          </w:r>
                          <w:r>
                            <w:rPr>
                              <w:rFonts w:hint="eastAsia"/>
                              <w:sz w:val="28"/>
                              <w:szCs w:val="28"/>
                              <w:lang w:val="en-US" w:eastAsia="zh-CN"/>
                            </w:rPr>
                            <w:t xml:space="preserve"> </w:t>
                          </w:r>
                          <w:r>
                            <w:rPr>
                              <w:rFonts w:hint="eastAsia"/>
                              <w:sz w:val="28"/>
                              <w:szCs w:val="28"/>
                              <w:lang w:eastAsia="zh-CN"/>
                            </w:rPr>
                            <w:t>—</w:t>
                          </w:r>
                        </w:p>
                      </w:txbxContent>
                    </wps:txbx>
                    <wps:bodyPr lIns="0" tIns="0" rIns="0" bIns="0" upright="0"/>
                  </wps:wsp>
                </a:graphicData>
              </a:graphic>
            </wp:anchor>
          </w:drawing>
        </mc:Choice>
        <mc:Fallback>
          <w:pict>
            <v:shape id="文本框 2" o:spid="_x0000_s1026" o:spt="202" type="#_x0000_t202" style="position:absolute;left:0pt;margin-left:377.7pt;margin-top:-21.75pt;height:33.75pt;width:64.5pt;mso-position-horizontal-relative:margin;z-index:251658240;mso-width-relative:page;mso-height-relative:page;" filled="f" stroked="f" coordsize="21600,21600" o:gfxdata="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BksjM2gAAAAoB&#10;AAAPAAAAAAAAAAEAIAAAACIAAABkcnMvZG93bnJldi54bWxQSwECFAAUAAAACACHTuJAlsQkF6cB&#10;AAAtAwAADgAAAAAAAAABACAAAAApAQAAZHJzL2Uyb0RvYy54bWxQSwUGAAAAAAYABgBZAQAAQgUA&#10;AAAA&#10;">
              <v:fill on="f" focussize="0,0"/>
              <v:stroke on="f" weight="1.25pt"/>
              <v:imagedata o:title=""/>
              <o:lock v:ext="edit" aspectratio="f"/>
              <v:textbox inset="0mm,0mm,0mm,0mm">
                <w:txbxContent>
                  <w:p>
                    <w:pPr>
                      <w:snapToGrid w:val="0"/>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sz w:val="28"/>
                        <w:szCs w:val="28"/>
                      </w:rPr>
                      <w:t>V</w:t>
                    </w:r>
                    <w:r>
                      <w:rPr>
                        <w:rFonts w:hint="eastAsia"/>
                        <w:sz w:val="28"/>
                        <w:szCs w:val="28"/>
                        <w:lang w:eastAsia="zh-CN"/>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sz w:val="24"/>
      </w:rPr>
    </w:pPr>
    <w:r>
      <w:rPr>
        <w:sz w:val="24"/>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-142875</wp:posOffset>
              </wp:positionV>
              <wp:extent cx="885190" cy="295275"/>
              <wp:effectExtent l="0" t="0" r="0" b="0"/>
              <wp:wrapNone/>
              <wp:docPr id="2" name="文本框 3"/>
              <wp:cNvGraphicFramePr/>
              <a:graphic xmlns:a="http://schemas.openxmlformats.org/drawingml/2006/main">
                <a:graphicData uri="http://schemas.microsoft.com/office/word/2010/wordprocessingShape">
                  <wps:wsp>
                    <wps:cNvSpPr txBox="1"/>
                    <wps:spPr>
                      <a:xfrm>
                        <a:off x="0" y="0"/>
                        <a:ext cx="885190" cy="295275"/>
                      </a:xfrm>
                      <a:prstGeom prst="rect">
                        <a:avLst/>
                      </a:prstGeom>
                      <a:noFill/>
                      <a:ln w="15875">
                        <a:noFill/>
                      </a:ln>
                    </wps:spPr>
                    <wps:txbx>
                      <w:txbxContent>
                        <w:p>
                          <w:pPr>
                            <w:snapToGrid w:val="0"/>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sz w:val="28"/>
                              <w:szCs w:val="28"/>
                            </w:rPr>
                            <w:t>2</w:t>
                          </w:r>
                          <w:r>
                            <w:rPr>
                              <w:rFonts w:hint="eastAsia"/>
                              <w:sz w:val="28"/>
                              <w:szCs w:val="28"/>
                              <w:lang w:eastAsia="zh-CN"/>
                            </w:rPr>
                            <w:fldChar w:fldCharType="end"/>
                          </w:r>
                          <w:r>
                            <w:rPr>
                              <w:rFonts w:hint="eastAsia"/>
                              <w:sz w:val="28"/>
                              <w:szCs w:val="28"/>
                              <w:lang w:val="en-US" w:eastAsia="zh-CN"/>
                            </w:rPr>
                            <w:t xml:space="preserve"> </w:t>
                          </w:r>
                          <w:r>
                            <w:rPr>
                              <w:rFonts w:hint="eastAsia"/>
                              <w:sz w:val="28"/>
                              <w:szCs w:val="28"/>
                              <w:lang w:eastAsia="zh-CN"/>
                            </w:rPr>
                            <w:t>—</w:t>
                          </w:r>
                        </w:p>
                      </w:txbxContent>
                    </wps:txbx>
                    <wps:bodyPr lIns="0" tIns="0" rIns="0" bIns="0" upright="0"/>
                  </wps:wsp>
                </a:graphicData>
              </a:graphic>
            </wp:anchor>
          </w:drawing>
        </mc:Choice>
        <mc:Fallback>
          <w:pict>
            <v:shape id="文本框 3" o:spid="_x0000_s1026" o:spt="202" type="#_x0000_t202" style="position:absolute;left:0pt;margin-left:0pt;margin-top:-11.25pt;height:23.25pt;width:69.7pt;mso-position-horizontal-relative:margin;z-index:251659264;mso-width-relative:page;mso-height-relative:page;" filled="f" stroked="f" coordsize="21600,21600" o:gfxdata="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gtulb9cAAAAHAQAADwAA&#10;AAAAAAABACAAAAAiAAAAZHJzL2Rvd25yZXYueG1sUEsBAhQAFAAAAAgAh07iQCEc60ClAQAALQMA&#10;AA4AAAAAAAAAAQAgAAAAJgEAAGRycy9lMm9Eb2MueG1sUEsFBgAAAAAGAAYAWQEAAD0FAAAAAA==&#10;">
              <v:fill on="f" focussize="0,0"/>
              <v:stroke on="f" weight="1.25pt"/>
              <v:imagedata o:title=""/>
              <o:lock v:ext="edit" aspectratio="f"/>
              <v:textbox inset="0mm,0mm,0mm,0mm">
                <w:txbxContent>
                  <w:p>
                    <w:pPr>
                      <w:snapToGrid w:val="0"/>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sz w:val="28"/>
                        <w:szCs w:val="28"/>
                      </w:rPr>
                      <w:t>2</w:t>
                    </w:r>
                    <w:r>
                      <w:rPr>
                        <w:rFonts w:hint="eastAsia"/>
                        <w:sz w:val="28"/>
                        <w:szCs w:val="28"/>
                        <w:lang w:eastAsia="zh-CN"/>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-171450</wp:posOffset>
              </wp:positionV>
              <wp:extent cx="828675" cy="3238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28675" cy="323850"/>
                      </a:xfrm>
                      <a:prstGeom prst="rect">
                        <a:avLst/>
                      </a:prstGeom>
                      <a:noFill/>
                      <a:ln w="15875">
                        <a:noFill/>
                      </a:ln>
                    </wps:spPr>
                    <wps:txbx>
                      <w:txbxContent>
                        <w:p>
                          <w:pPr>
                            <w:snapToGrid w:val="0"/>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sz w:val="28"/>
                              <w:szCs w:val="28"/>
                            </w:rPr>
                            <w:t>1</w:t>
                          </w:r>
                          <w:r>
                            <w:rPr>
                              <w:rFonts w:hint="eastAsia"/>
                              <w:sz w:val="28"/>
                              <w:szCs w:val="28"/>
                              <w:lang w:eastAsia="zh-CN"/>
                            </w:rPr>
                            <w:fldChar w:fldCharType="end"/>
                          </w:r>
                          <w:r>
                            <w:rPr>
                              <w:rFonts w:hint="eastAsia"/>
                              <w:sz w:val="28"/>
                              <w:szCs w:val="28"/>
                              <w:lang w:val="en-US" w:eastAsia="zh-CN"/>
                            </w:rPr>
                            <w:t xml:space="preserve"> </w:t>
                          </w:r>
                          <w:r>
                            <w:rPr>
                              <w:rFonts w:hint="eastAsia"/>
                              <w:sz w:val="28"/>
                              <w:szCs w:val="28"/>
                              <w:lang w:eastAsia="zh-CN"/>
                            </w:rPr>
                            <w:t>—</w:t>
                          </w:r>
                        </w:p>
                      </w:txbxContent>
                    </wps:txbx>
                    <wps:bodyPr lIns="0" tIns="0" rIns="0" bIns="0" upright="0"/>
                  </wps:wsp>
                </a:graphicData>
              </a:graphic>
            </wp:anchor>
          </w:drawing>
        </mc:Choice>
        <mc:Fallback>
          <w:pict>
            <v:shape id="_x0000_s1026" o:spid="_x0000_s1026" o:spt="202" type="#_x0000_t202" style="position:absolute;left:0pt;margin-top:-13.5pt;height:25.5pt;width:65.25pt;mso-position-horizontal:outside;mso-position-horizontal-relative:margin;z-index:251660288;mso-width-relative:page;mso-height-relative:page;" filled="f" stroked="f" coordsize="21600,21600" o:gfxdata="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UGLBO1wAAAAcBAAAP&#10;AAAAAAAAAAEAIAAAACIAAABkcnMvZG93bnJldi54bWxQSwECFAAUAAAACACHTuJANXwUFqcBAAAt&#10;AwAADgAAAAAAAAABACAAAAAmAQAAZHJzL2Uyb0RvYy54bWxQSwUGAAAAAAYABgBZAQAAPwUAAAAA&#10;">
              <v:fill on="f" focussize="0,0"/>
              <v:stroke on="f" weight="1.25pt"/>
              <v:imagedata o:title=""/>
              <o:lock v:ext="edit" aspectratio="f"/>
              <v:textbox inset="0mm,0mm,0mm,0mm">
                <w:txbxContent>
                  <w:p>
                    <w:pPr>
                      <w:snapToGrid w:val="0"/>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sz w:val="28"/>
                        <w:szCs w:val="28"/>
                      </w:rPr>
                      <w:t>1</w:t>
                    </w:r>
                    <w:r>
                      <w:rPr>
                        <w:rFonts w:hint="eastAsia"/>
                        <w:sz w:val="28"/>
                        <w:szCs w:val="28"/>
                        <w:lang w:eastAsia="zh-CN"/>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1E75BA"/>
    <w:rsid w:val="0501713F"/>
    <w:rsid w:val="481E75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仿宋_GB2312" w:hAnsi="仿宋_GB2312" w:eastAsia="仿宋_GB2312" w:cstheme="minorBidi"/>
      <w:spacing w:val="0"/>
      <w:kern w:val="2"/>
      <w:sz w:val="32"/>
      <w:szCs w:val="22"/>
      <w:lang w:val="en-US" w:eastAsia="zh-CN"/>
    </w:rPr>
  </w:style>
  <w:style w:type="paragraph" w:styleId="2">
    <w:name w:val="heading 1"/>
    <w:basedOn w:val="1"/>
    <w:next w:val="1"/>
    <w:qFormat/>
    <w:uiPriority w:val="0"/>
    <w:pPr>
      <w:keepLines/>
      <w:spacing w:line="576" w:lineRule="exact"/>
      <w:jc w:val="left"/>
      <w:outlineLvl w:val="0"/>
    </w:pPr>
    <w:rPr>
      <w:rFonts w:ascii="等线" w:hAnsi="等线" w:eastAsia="黑体" w:cs="Times New Roman"/>
      <w:bCs/>
      <w:kern w:val="44"/>
      <w:sz w:val="36"/>
    </w:rPr>
  </w:style>
  <w:style w:type="paragraph" w:styleId="3">
    <w:name w:val="heading 2"/>
    <w:basedOn w:val="1"/>
    <w:next w:val="1"/>
    <w:unhideWhenUsed/>
    <w:qFormat/>
    <w:uiPriority w:val="0"/>
    <w:pPr>
      <w:keepNext/>
      <w:keepLines/>
      <w:spacing w:line="576" w:lineRule="exact"/>
      <w:ind w:firstLine="200" w:firstLineChars="200"/>
      <w:jc w:val="left"/>
      <w:outlineLvl w:val="1"/>
    </w:pPr>
    <w:rPr>
      <w:rFonts w:ascii="黑体" w:hAnsi="黑体" w:eastAsia="黑体" w:cs="Times New Roman"/>
      <w:bCs/>
    </w:rPr>
  </w:style>
  <w:style w:type="paragraph" w:styleId="4">
    <w:name w:val="heading 3"/>
    <w:basedOn w:val="1"/>
    <w:next w:val="1"/>
    <w:unhideWhenUsed/>
    <w:qFormat/>
    <w:uiPriority w:val="0"/>
    <w:pPr>
      <w:keepNext/>
      <w:keepLines/>
      <w:spacing w:line="576" w:lineRule="exact"/>
      <w:ind w:firstLine="640" w:firstLineChars="200"/>
      <w:outlineLvl w:val="2"/>
    </w:pPr>
    <w:rPr>
      <w:rFonts w:ascii="仿宋_GB2312" w:hAnsi="黑体" w:eastAsia="仿宋_GB2312"/>
      <w:b/>
      <w:bCs/>
    </w:rPr>
  </w:style>
  <w:style w:type="character" w:default="1" w:styleId="7">
    <w:name w:val="Default Paragraph Font"/>
    <w:semiHidden/>
    <w:qFormat/>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6">
    <w:name w:val="head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2017-05-15T02:50:00Z</dcterms:created>
  <dc:creator>wdp</dc:creator>
  <cp:lastModifiedBy>jhtgc</cp:lastModifiedBy>
  <dcterms:modified xsi:type="dcterms:W3CDTF">2025-05-13T09:31:07Z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