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left"/>
        <w:rPr>
          <w:rFonts w:hint="eastAsia" w:ascii="仿宋_GB2312" w:hAnsi="仿宋_GB2312" w:eastAsia="仿宋_GB2312" w:cs="仿宋_GB2312"/>
          <w:color w:val="000000"/>
          <w:sz w:val="32"/>
          <w:szCs w:val="32"/>
          <w:lang w:val="en-US" w:eastAsia="zh-CN"/>
        </w:rPr>
      </w:pPr>
      <w:r>
        <w:rPr>
          <w:rFonts w:hint="eastAsia" w:ascii="仿宋_GB2312" w:hAnsi="仿宋_GB2312" w:cs="仿宋_GB2312"/>
          <w:color w:val="000000"/>
          <w:sz w:val="32"/>
          <w:szCs w:val="32"/>
          <w:lang w:val="en-US" w:eastAsia="zh-CN"/>
        </w:rPr>
        <w:t xml:space="preserve">   </w:t>
      </w:r>
      <w:r>
        <w:rPr>
          <w:rFonts w:hint="eastAsia" w:ascii="黑体" w:hAnsi="黑体" w:eastAsia="黑体" w:cs="黑体"/>
          <w:color w:val="000000"/>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left"/>
        <w:textAlignment w:val="auto"/>
        <w:outlineLvl w:val="9"/>
        <w:rPr>
          <w:rFonts w:hint="eastAsia" w:ascii="仿宋_GB2312" w:hAnsi="仿宋_GB2312" w:eastAsia="仿宋_GB2312" w:cs="仿宋_GB2312"/>
          <w:color w:val="000000"/>
          <w:sz w:val="32"/>
          <w:szCs w:val="32"/>
          <w:lang w:val="en-US" w:eastAsia="zh-CN"/>
        </w:rPr>
      </w:pPr>
    </w:p>
    <w:p>
      <w:pPr>
        <w:spacing w:beforeLines="0" w:afterLines="0"/>
        <w:jc w:val="center"/>
        <w:rPr>
          <w:rFonts w:hint="eastAsia" w:ascii="黑体" w:hAnsi="黑体" w:eastAsia="黑体"/>
          <w:color w:val="000000"/>
          <w:sz w:val="36"/>
        </w:rPr>
      </w:pPr>
      <w:bookmarkStart w:id="1" w:name="_GoBack"/>
      <w:bookmarkEnd w:id="1"/>
      <w:r>
        <w:rPr>
          <w:rFonts w:hint="eastAsia" w:ascii="方正小标宋简体" w:hAnsi="方正小标宋简体" w:eastAsia="方正小标宋简体" w:cs="方正小标宋简体"/>
          <w:color w:val="000000"/>
          <w:sz w:val="44"/>
          <w:szCs w:val="44"/>
        </w:rPr>
        <w:t>福建省人社系统随机抽查事项清单（第二版）</w:t>
      </w:r>
      <w:r>
        <w:rPr>
          <w:rFonts w:hint="eastAsia" w:ascii="黑体" w:hAnsi="黑体" w:eastAsia="黑体"/>
          <w:color w:val="000000"/>
          <w:sz w:val="36"/>
        </w:rPr>
        <w:t xml:space="preserve"> </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黑体" w:hAnsi="黑体" w:eastAsia="黑体"/>
          <w:color w:val="000000"/>
          <w:sz w:val="36"/>
        </w:rPr>
      </w:pPr>
    </w:p>
    <w:tbl>
      <w:tblPr>
        <w:tblStyle w:val="3"/>
        <w:tblW w:w="12959" w:type="dxa"/>
        <w:jc w:val="center"/>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4"/>
        <w:gridCol w:w="5"/>
        <w:gridCol w:w="2905"/>
        <w:gridCol w:w="2640"/>
        <w:gridCol w:w="2625"/>
        <w:gridCol w:w="1725"/>
        <w:gridCol w:w="1455"/>
        <w:gridCol w:w="9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0" w:hRule="atLeast"/>
          <w:jc w:val="center"/>
        </w:trPr>
        <w:tc>
          <w:tcPr>
            <w:tcW w:w="12959" w:type="dxa"/>
            <w:gridSpan w:val="8"/>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方正小标宋简体" w:hAnsi="方正小标宋简体" w:eastAsia="方正小标宋简体"/>
                <w:color w:val="000000"/>
                <w:sz w:val="24"/>
              </w:rPr>
            </w:pPr>
            <w:r>
              <w:rPr>
                <w:rFonts w:hint="eastAsia" w:ascii="方正小标宋简体" w:hAnsi="方正小标宋简体" w:eastAsia="方正小标宋简体"/>
                <w:color w:val="000000"/>
                <w:sz w:val="24"/>
              </w:rPr>
              <w:t>一、市场监管执法事项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7" w:hRule="atLeast"/>
          <w:jc w:val="center"/>
        </w:trPr>
        <w:tc>
          <w:tcPr>
            <w:tcW w:w="12959" w:type="dxa"/>
            <w:gridSpan w:val="8"/>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方正小标宋简体" w:hAnsi="方正小标宋简体" w:eastAsia="方正小标宋简体"/>
                <w:color w:val="000000"/>
                <w:sz w:val="24"/>
              </w:rPr>
            </w:pPr>
            <w:r>
              <w:rPr>
                <w:rFonts w:hint="eastAsia" w:ascii="方正小标宋简体" w:hAnsi="方正小标宋简体" w:eastAsia="方正小标宋简体"/>
                <w:color w:val="000000"/>
                <w:sz w:val="24"/>
              </w:rPr>
              <w:t>（一）对行政许可批设市场主体的监督检查（共4项）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5" w:hRule="atLeast"/>
          <w:jc w:val="center"/>
        </w:trPr>
        <w:tc>
          <w:tcPr>
            <w:tcW w:w="619" w:type="dxa"/>
            <w:gridSpan w:val="2"/>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序号</w:t>
            </w:r>
          </w:p>
        </w:tc>
        <w:tc>
          <w:tcPr>
            <w:tcW w:w="290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项目名称</w:t>
            </w:r>
          </w:p>
        </w:tc>
        <w:tc>
          <w:tcPr>
            <w:tcW w:w="2640"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抽查依据</w:t>
            </w:r>
          </w:p>
        </w:tc>
        <w:tc>
          <w:tcPr>
            <w:tcW w:w="262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抽查内容</w:t>
            </w:r>
          </w:p>
        </w:tc>
        <w:tc>
          <w:tcPr>
            <w:tcW w:w="172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实施主体</w:t>
            </w:r>
          </w:p>
        </w:tc>
        <w:tc>
          <w:tcPr>
            <w:tcW w:w="145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仿宋_GB2312"/>
                <w:b/>
                <w:color w:val="000000"/>
                <w:sz w:val="22"/>
                <w:lang w:eastAsia="zh-CN"/>
              </w:rPr>
            </w:pPr>
            <w:r>
              <w:rPr>
                <w:rFonts w:hint="eastAsia" w:ascii="宋体" w:hAnsi="宋体"/>
                <w:b/>
                <w:color w:val="000000"/>
                <w:sz w:val="22"/>
              </w:rPr>
              <w:t>省厅业务主管处室</w:t>
            </w:r>
            <w:r>
              <w:rPr>
                <w:rFonts w:hint="eastAsia" w:ascii="宋体" w:hAnsi="宋体"/>
                <w:b/>
                <w:color w:val="000000"/>
                <w:sz w:val="22"/>
                <w:lang w:eastAsia="zh-CN"/>
              </w:rPr>
              <w:t>、单位</w:t>
            </w:r>
          </w:p>
        </w:tc>
        <w:tc>
          <w:tcPr>
            <w:tcW w:w="990"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11" w:hRule="atLeast"/>
          <w:jc w:val="center"/>
        </w:trPr>
        <w:tc>
          <w:tcPr>
            <w:tcW w:w="619" w:type="dxa"/>
            <w:gridSpan w:val="2"/>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1</w:t>
            </w:r>
          </w:p>
        </w:tc>
        <w:tc>
          <w:tcPr>
            <w:tcW w:w="2905" w:type="dxa"/>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对经营性人力资源服务机构的监督检查</w:t>
            </w:r>
          </w:p>
        </w:tc>
        <w:tc>
          <w:tcPr>
            <w:tcW w:w="2640" w:type="dxa"/>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《人力资源市场暂行条例》（中华人民共和国国务院令 第700号 经2018年5月2日国务院第7次常务会议通过）</w:t>
            </w:r>
          </w:p>
        </w:tc>
        <w:tc>
          <w:tcPr>
            <w:tcW w:w="2625" w:type="dxa"/>
            <w:vMerge w:val="restart"/>
            <w:tcBorders>
              <w:top w:val="single" w:color="auto" w:sz="6" w:space="0"/>
              <w:left w:val="single" w:color="auto" w:sz="6" w:space="0"/>
              <w:bottom w:val="nil"/>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1.检查对象遵守有关法律法规情况；</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2.检查对象严格按照许可范围及有关规范开展业务情况；</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3.检查对象申请批设时提交材料的准确性和真实性；</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4.被投诉举报事项情况核查；</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5.其他根据法律法规规章规定可以检查的内容。</w:t>
            </w:r>
          </w:p>
        </w:tc>
        <w:tc>
          <w:tcPr>
            <w:tcW w:w="1725" w:type="dxa"/>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省、市、县级人社部门分级负责</w:t>
            </w:r>
          </w:p>
        </w:tc>
        <w:tc>
          <w:tcPr>
            <w:tcW w:w="1455" w:type="dxa"/>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人力资源开发处</w:t>
            </w:r>
          </w:p>
        </w:tc>
        <w:tc>
          <w:tcPr>
            <w:tcW w:w="990" w:type="dxa"/>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65" w:hRule="atLeast"/>
          <w:jc w:val="center"/>
        </w:trPr>
        <w:tc>
          <w:tcPr>
            <w:tcW w:w="619" w:type="dxa"/>
            <w:gridSpan w:val="2"/>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2</w:t>
            </w:r>
          </w:p>
        </w:tc>
        <w:tc>
          <w:tcPr>
            <w:tcW w:w="2905"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对民办职业资格培训、职业技能培训学校的监督检查</w:t>
            </w:r>
          </w:p>
        </w:tc>
        <w:tc>
          <w:tcPr>
            <w:tcW w:w="264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《民办教育促进法》</w:t>
            </w:r>
          </w:p>
        </w:tc>
        <w:tc>
          <w:tcPr>
            <w:tcW w:w="2625" w:type="dxa"/>
            <w:vMerge w:val="continue"/>
            <w:tcBorders>
              <w:top w:val="nil"/>
              <w:left w:val="single" w:color="auto" w:sz="6" w:space="0"/>
              <w:bottom w:val="nil"/>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c>
          <w:tcPr>
            <w:tcW w:w="1725"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市、县级人社部门分级负责</w:t>
            </w:r>
          </w:p>
        </w:tc>
        <w:tc>
          <w:tcPr>
            <w:tcW w:w="1455"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职业能力建设处</w:t>
            </w:r>
          </w:p>
        </w:tc>
        <w:tc>
          <w:tcPr>
            <w:tcW w:w="99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50" w:hRule="atLeast"/>
          <w:jc w:val="center"/>
        </w:trPr>
        <w:tc>
          <w:tcPr>
            <w:tcW w:w="619" w:type="dxa"/>
            <w:gridSpan w:val="2"/>
            <w:tcBorders>
              <w:top w:val="single" w:color="auto" w:sz="4"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3</w:t>
            </w:r>
          </w:p>
        </w:tc>
        <w:tc>
          <w:tcPr>
            <w:tcW w:w="2905" w:type="dxa"/>
            <w:tcBorders>
              <w:top w:val="single" w:color="auto" w:sz="4"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对民办技工学校的监督检查</w:t>
            </w:r>
          </w:p>
        </w:tc>
        <w:tc>
          <w:tcPr>
            <w:tcW w:w="2640" w:type="dxa"/>
            <w:tcBorders>
              <w:top w:val="single" w:color="auto" w:sz="4"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《民办教育促进法》、《技工学校教育督导评估暂行规定》</w:t>
            </w:r>
          </w:p>
        </w:tc>
        <w:tc>
          <w:tcPr>
            <w:tcW w:w="2625" w:type="dxa"/>
            <w:vMerge w:val="continue"/>
            <w:tcBorders>
              <w:top w:val="nil"/>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c>
          <w:tcPr>
            <w:tcW w:w="1725" w:type="dxa"/>
            <w:tcBorders>
              <w:top w:val="single" w:color="auto" w:sz="4"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省人社厅；福州市、厦门市人社局</w:t>
            </w:r>
          </w:p>
        </w:tc>
        <w:tc>
          <w:tcPr>
            <w:tcW w:w="1455" w:type="dxa"/>
            <w:tcBorders>
              <w:top w:val="single" w:color="auto" w:sz="4"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职业能力建设处</w:t>
            </w:r>
          </w:p>
        </w:tc>
        <w:tc>
          <w:tcPr>
            <w:tcW w:w="990" w:type="dxa"/>
            <w:tcBorders>
              <w:top w:val="single" w:color="auto" w:sz="4"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20" w:hRule="atLeast"/>
          <w:jc w:val="center"/>
        </w:trPr>
        <w:tc>
          <w:tcPr>
            <w:tcW w:w="619" w:type="dxa"/>
            <w:gridSpan w:val="2"/>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4</w:t>
            </w:r>
          </w:p>
        </w:tc>
        <w:tc>
          <w:tcPr>
            <w:tcW w:w="2905"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对劳务派遣企业的监督检查</w:t>
            </w:r>
          </w:p>
        </w:tc>
        <w:tc>
          <w:tcPr>
            <w:tcW w:w="264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《劳动合同法》</w:t>
            </w:r>
          </w:p>
        </w:tc>
        <w:tc>
          <w:tcPr>
            <w:tcW w:w="26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c>
          <w:tcPr>
            <w:tcW w:w="1725"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市、县级人社部门分级负责</w:t>
            </w:r>
          </w:p>
        </w:tc>
        <w:tc>
          <w:tcPr>
            <w:tcW w:w="1455"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劳动关系处</w:t>
            </w:r>
          </w:p>
        </w:tc>
        <w:tc>
          <w:tcPr>
            <w:tcW w:w="990"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2" w:hRule="atLeast"/>
          <w:jc w:val="center"/>
        </w:trPr>
        <w:tc>
          <w:tcPr>
            <w:tcW w:w="12959" w:type="dxa"/>
            <w:gridSpan w:val="8"/>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方正小标宋简体" w:hAnsi="方正小标宋简体" w:eastAsia="方正小标宋简体"/>
                <w:color w:val="000000"/>
                <w:sz w:val="24"/>
              </w:rPr>
            </w:pPr>
            <w:r>
              <w:rPr>
                <w:rFonts w:hint="eastAsia" w:ascii="方正小标宋简体" w:hAnsi="方正小标宋简体" w:eastAsia="方正小标宋简体"/>
                <w:color w:val="000000"/>
                <w:sz w:val="24"/>
              </w:rPr>
              <w:t>（二）对用人单位的劳动保障监察（共8项）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0" w:hRule="atLeast"/>
          <w:jc w:val="center"/>
        </w:trPr>
        <w:tc>
          <w:tcPr>
            <w:tcW w:w="614"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序号</w:t>
            </w:r>
          </w:p>
        </w:tc>
        <w:tc>
          <w:tcPr>
            <w:tcW w:w="2910" w:type="dxa"/>
            <w:gridSpan w:val="2"/>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项目名称</w:t>
            </w:r>
          </w:p>
        </w:tc>
        <w:tc>
          <w:tcPr>
            <w:tcW w:w="2640"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抽查依据</w:t>
            </w:r>
          </w:p>
        </w:tc>
        <w:tc>
          <w:tcPr>
            <w:tcW w:w="262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抽查内容</w:t>
            </w:r>
          </w:p>
        </w:tc>
        <w:tc>
          <w:tcPr>
            <w:tcW w:w="172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实施主体</w:t>
            </w:r>
          </w:p>
        </w:tc>
        <w:tc>
          <w:tcPr>
            <w:tcW w:w="145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仿宋_GB2312"/>
                <w:b/>
                <w:color w:val="000000"/>
                <w:sz w:val="22"/>
                <w:lang w:eastAsia="zh-CN"/>
              </w:rPr>
            </w:pPr>
            <w:r>
              <w:rPr>
                <w:rFonts w:hint="eastAsia" w:ascii="宋体" w:hAnsi="宋体"/>
                <w:b/>
                <w:color w:val="000000"/>
                <w:sz w:val="22"/>
              </w:rPr>
              <w:t>省厅业务主管处室</w:t>
            </w:r>
            <w:r>
              <w:rPr>
                <w:rFonts w:hint="eastAsia" w:ascii="宋体" w:hAnsi="宋体"/>
                <w:b/>
                <w:color w:val="000000"/>
                <w:sz w:val="22"/>
                <w:lang w:eastAsia="zh-CN"/>
              </w:rPr>
              <w:t>、单位</w:t>
            </w:r>
          </w:p>
        </w:tc>
        <w:tc>
          <w:tcPr>
            <w:tcW w:w="990"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5"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1</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对用人单位制定内部劳动保障规章制度情况的监察</w:t>
            </w:r>
          </w:p>
        </w:tc>
        <w:tc>
          <w:tcPr>
            <w:tcW w:w="2640" w:type="dxa"/>
            <w:vMerge w:val="restart"/>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《劳动保障监察条例》</w:t>
            </w:r>
          </w:p>
        </w:tc>
        <w:tc>
          <w:tcPr>
            <w:tcW w:w="2625" w:type="dxa"/>
            <w:vMerge w:val="restart"/>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用人单位遵守相关规章制度情况。</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c>
          <w:tcPr>
            <w:tcW w:w="1725" w:type="dxa"/>
            <w:vMerge w:val="restart"/>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1.根据属地管理原则，由各级劳动保障监察机构负责；</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2.省级劳动保障监察机构会同有管辖权的劳动保障监察机构对涉及跨地区生产经营的央企省企开展双随机抽查活动。</w:t>
            </w:r>
          </w:p>
        </w:tc>
        <w:tc>
          <w:tcPr>
            <w:tcW w:w="1455" w:type="dxa"/>
            <w:vMerge w:val="restart"/>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厅劳动监察处、省劳动保障监察总队</w:t>
            </w:r>
          </w:p>
        </w:tc>
        <w:tc>
          <w:tcPr>
            <w:tcW w:w="990" w:type="dxa"/>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5"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2</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对用人单位劳动合同及招用工的监察</w:t>
            </w:r>
          </w:p>
        </w:tc>
        <w:tc>
          <w:tcPr>
            <w:tcW w:w="2640"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26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17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p>
        </w:tc>
        <w:tc>
          <w:tcPr>
            <w:tcW w:w="145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990" w:type="dxa"/>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5"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3</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对用人单位遵守禁止使用童工规定情况的监察</w:t>
            </w:r>
          </w:p>
        </w:tc>
        <w:tc>
          <w:tcPr>
            <w:tcW w:w="2640"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26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17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p>
        </w:tc>
        <w:tc>
          <w:tcPr>
            <w:tcW w:w="145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990" w:type="dxa"/>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0"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4</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对用人单位遵守女职工和未成年工特殊劳动保护规定情况的监察</w:t>
            </w:r>
          </w:p>
        </w:tc>
        <w:tc>
          <w:tcPr>
            <w:tcW w:w="2640"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26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17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p>
        </w:tc>
        <w:tc>
          <w:tcPr>
            <w:tcW w:w="145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990" w:type="dxa"/>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5"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0"/>
              </w:rPr>
            </w:pPr>
            <w:r>
              <w:rPr>
                <w:rFonts w:hint="eastAsia" w:ascii="宋体" w:hAnsi="宋体"/>
                <w:color w:val="000000"/>
                <w:sz w:val="20"/>
              </w:rPr>
              <w:t>5</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对用人单位遵守工作时间和休息休假规定情况的监察</w:t>
            </w:r>
          </w:p>
        </w:tc>
        <w:tc>
          <w:tcPr>
            <w:tcW w:w="2640"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26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17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p>
        </w:tc>
        <w:tc>
          <w:tcPr>
            <w:tcW w:w="145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990" w:type="dxa"/>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20"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r>
              <w:rPr>
                <w:rFonts w:hint="eastAsia" w:ascii="宋体" w:hAnsi="宋体"/>
                <w:color w:val="000000"/>
                <w:sz w:val="24"/>
              </w:rPr>
              <w:t>6</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对用人单位支付劳动者工资和执行最低工资标准情况的监察</w:t>
            </w:r>
          </w:p>
        </w:tc>
        <w:tc>
          <w:tcPr>
            <w:tcW w:w="2640"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26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17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p>
        </w:tc>
        <w:tc>
          <w:tcPr>
            <w:tcW w:w="145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990" w:type="dxa"/>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60"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r>
              <w:rPr>
                <w:rFonts w:hint="eastAsia" w:ascii="宋体" w:hAnsi="宋体"/>
                <w:color w:val="000000"/>
                <w:sz w:val="24"/>
              </w:rPr>
              <w:t>7</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对用人单位参加各项社会保险和缴纳社会保险费情况的监察</w:t>
            </w:r>
          </w:p>
        </w:tc>
        <w:tc>
          <w:tcPr>
            <w:tcW w:w="2640"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26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172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p>
        </w:tc>
        <w:tc>
          <w:tcPr>
            <w:tcW w:w="1455" w:type="dxa"/>
            <w:vMerge w:val="continue"/>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990" w:type="dxa"/>
            <w:tcBorders>
              <w:top w:val="single" w:color="auto" w:sz="6" w:space="0"/>
              <w:left w:val="single" w:color="auto" w:sz="6" w:space="0"/>
              <w:bottom w:val="single" w:color="auto" w:sz="6"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right"/>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5" w:hRule="atLeast"/>
          <w:jc w:val="center"/>
        </w:trPr>
        <w:tc>
          <w:tcPr>
            <w:tcW w:w="614" w:type="dxa"/>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r>
              <w:rPr>
                <w:rFonts w:hint="eastAsia" w:ascii="宋体" w:hAnsi="宋体"/>
                <w:color w:val="000000"/>
                <w:sz w:val="24"/>
              </w:rPr>
              <w:t>8</w:t>
            </w:r>
          </w:p>
        </w:tc>
        <w:tc>
          <w:tcPr>
            <w:tcW w:w="2910" w:type="dxa"/>
            <w:gridSpan w:val="2"/>
            <w:tcBorders>
              <w:top w:val="single" w:color="auto" w:sz="6" w:space="0"/>
              <w:left w:val="single" w:color="auto" w:sz="6" w:space="0"/>
              <w:bottom w:val="single" w:color="auto" w:sz="4"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对用人单位高温劳动保护的监察</w:t>
            </w:r>
          </w:p>
        </w:tc>
        <w:tc>
          <w:tcPr>
            <w:tcW w:w="2640" w:type="dxa"/>
            <w:tcBorders>
              <w:top w:val="single" w:color="auto" w:sz="6" w:space="0"/>
              <w:left w:val="single" w:color="auto" w:sz="6" w:space="0"/>
              <w:bottom w:val="single" w:color="auto" w:sz="4"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r>
              <w:rPr>
                <w:rFonts w:hint="eastAsia" w:ascii="宋体" w:hAnsi="宋体"/>
                <w:color w:val="000000"/>
                <w:sz w:val="24"/>
              </w:rPr>
              <w:t>《劳动保障监察条例》、</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r>
              <w:rPr>
                <w:rFonts w:hint="eastAsia" w:ascii="宋体" w:hAnsi="宋体"/>
                <w:color w:val="000000"/>
                <w:sz w:val="24"/>
              </w:rPr>
              <w:t>《防暑降温措施管理办法》</w:t>
            </w:r>
          </w:p>
        </w:tc>
        <w:tc>
          <w:tcPr>
            <w:tcW w:w="2625" w:type="dxa"/>
            <w:vMerge w:val="continue"/>
            <w:tcBorders>
              <w:top w:val="single" w:color="auto" w:sz="6" w:space="0"/>
              <w:left w:val="single" w:color="auto" w:sz="6" w:space="0"/>
              <w:bottom w:val="single" w:color="auto" w:sz="4"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1725" w:type="dxa"/>
            <w:vMerge w:val="continue"/>
            <w:tcBorders>
              <w:top w:val="single" w:color="auto" w:sz="6" w:space="0"/>
              <w:left w:val="single" w:color="auto" w:sz="6" w:space="0"/>
              <w:bottom w:val="single" w:color="auto" w:sz="4"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宋体" w:hAnsi="宋体"/>
                <w:color w:val="000000"/>
                <w:sz w:val="24"/>
              </w:rPr>
            </w:pPr>
          </w:p>
        </w:tc>
        <w:tc>
          <w:tcPr>
            <w:tcW w:w="1455" w:type="dxa"/>
            <w:vMerge w:val="continue"/>
            <w:tcBorders>
              <w:top w:val="single" w:color="auto" w:sz="6" w:space="0"/>
              <w:left w:val="single" w:color="auto" w:sz="6" w:space="0"/>
              <w:bottom w:val="single" w:color="auto" w:sz="4"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p>
        </w:tc>
        <w:tc>
          <w:tcPr>
            <w:tcW w:w="990" w:type="dxa"/>
            <w:tcBorders>
              <w:top w:val="single" w:color="auto" w:sz="6" w:space="0"/>
              <w:left w:val="single" w:color="auto" w:sz="6" w:space="0"/>
              <w:bottom w:val="single" w:color="auto" w:sz="4" w:space="0"/>
              <w:right w:val="single" w:color="auto"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0" w:hRule="atLeast"/>
          <w:jc w:val="center"/>
        </w:trPr>
        <w:tc>
          <w:tcPr>
            <w:tcW w:w="12959" w:type="dxa"/>
            <w:gridSpan w:val="8"/>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方正小标宋简体" w:hAnsi="方正小标宋简体" w:eastAsia="方正小标宋简体"/>
                <w:color w:val="000000"/>
                <w:sz w:val="24"/>
              </w:rPr>
            </w:pPr>
            <w:r>
              <w:rPr>
                <w:rFonts w:hint="eastAsia" w:ascii="方正小标宋简体" w:hAnsi="方正小标宋简体" w:eastAsia="方正小标宋简体"/>
                <w:color w:val="000000"/>
                <w:sz w:val="24"/>
              </w:rPr>
              <w:t>二、其他行政执法事项（共2项）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0" w:hRule="atLeast"/>
          <w:jc w:val="center"/>
        </w:trPr>
        <w:tc>
          <w:tcPr>
            <w:tcW w:w="614"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序号</w:t>
            </w:r>
          </w:p>
        </w:tc>
        <w:tc>
          <w:tcPr>
            <w:tcW w:w="2910" w:type="dxa"/>
            <w:gridSpan w:val="2"/>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项目名称</w:t>
            </w:r>
          </w:p>
        </w:tc>
        <w:tc>
          <w:tcPr>
            <w:tcW w:w="2640"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抽查依据</w:t>
            </w:r>
          </w:p>
        </w:tc>
        <w:tc>
          <w:tcPr>
            <w:tcW w:w="262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抽查内容</w:t>
            </w:r>
          </w:p>
        </w:tc>
        <w:tc>
          <w:tcPr>
            <w:tcW w:w="172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实施主体</w:t>
            </w:r>
          </w:p>
        </w:tc>
        <w:tc>
          <w:tcPr>
            <w:tcW w:w="1455"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仿宋_GB2312"/>
                <w:b/>
                <w:color w:val="000000"/>
                <w:sz w:val="22"/>
                <w:lang w:eastAsia="zh-CN"/>
              </w:rPr>
            </w:pPr>
            <w:r>
              <w:rPr>
                <w:rFonts w:hint="eastAsia" w:ascii="宋体" w:hAnsi="宋体"/>
                <w:b/>
                <w:color w:val="000000"/>
                <w:sz w:val="22"/>
              </w:rPr>
              <w:t>省厅</w:t>
            </w:r>
            <w:r>
              <w:rPr>
                <w:rFonts w:hint="eastAsia" w:ascii="宋体" w:hAnsi="宋体"/>
                <w:b/>
                <w:color w:val="000000"/>
                <w:sz w:val="22"/>
                <w:lang w:eastAsia="zh-CN"/>
              </w:rPr>
              <w:t>业务</w:t>
            </w:r>
            <w:r>
              <w:rPr>
                <w:rFonts w:hint="eastAsia" w:ascii="宋体" w:hAnsi="宋体"/>
                <w:b/>
                <w:color w:val="000000"/>
                <w:sz w:val="22"/>
              </w:rPr>
              <w:t>主管处室</w:t>
            </w:r>
            <w:r>
              <w:rPr>
                <w:rFonts w:hint="eastAsia" w:ascii="宋体" w:hAnsi="宋体"/>
                <w:b/>
                <w:color w:val="000000"/>
                <w:sz w:val="22"/>
                <w:lang w:eastAsia="zh-CN"/>
              </w:rPr>
              <w:t>、单位</w:t>
            </w:r>
          </w:p>
        </w:tc>
        <w:tc>
          <w:tcPr>
            <w:tcW w:w="990" w:type="dxa"/>
            <w:tcBorders>
              <w:top w:val="single" w:color="auto" w:sz="4"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b/>
                <w:color w:val="000000"/>
                <w:sz w:val="22"/>
              </w:rPr>
            </w:pPr>
            <w:r>
              <w:rPr>
                <w:rFonts w:hint="eastAsia" w:ascii="宋体" w:hAnsi="宋体"/>
                <w:b/>
                <w:color w:val="000000"/>
                <w:sz w:val="22"/>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80"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r>
              <w:rPr>
                <w:rFonts w:hint="eastAsia" w:ascii="宋体" w:hAnsi="宋体"/>
                <w:color w:val="000000"/>
                <w:sz w:val="24"/>
              </w:rPr>
              <w:t>1</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对专业技术人员继续教育工作的监督检查</w:t>
            </w:r>
          </w:p>
        </w:tc>
        <w:tc>
          <w:tcPr>
            <w:tcW w:w="2640"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 xml:space="preserve"> 《专业技术人员继续教育规定》（人社部令第25号）</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 xml:space="preserve">    </w:t>
            </w:r>
          </w:p>
        </w:tc>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用人单位、继续教育机构执行《专业技术人员继续教育规定》的情况。</w:t>
            </w:r>
          </w:p>
        </w:tc>
        <w:tc>
          <w:tcPr>
            <w:tcW w:w="1725"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省、市、县级人社部门分级负责</w:t>
            </w:r>
          </w:p>
        </w:tc>
        <w:tc>
          <w:tcPr>
            <w:tcW w:w="1455"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职业能力建设处</w:t>
            </w:r>
          </w:p>
        </w:tc>
        <w:tc>
          <w:tcPr>
            <w:tcW w:w="990"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10" w:hRule="atLeast"/>
          <w:jc w:val="center"/>
        </w:trPr>
        <w:tc>
          <w:tcPr>
            <w:tcW w:w="614"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olor w:val="000000"/>
                <w:sz w:val="24"/>
              </w:rPr>
            </w:pPr>
            <w:r>
              <w:rPr>
                <w:rFonts w:hint="eastAsia" w:ascii="宋体" w:hAnsi="宋体"/>
                <w:color w:val="000000"/>
                <w:sz w:val="24"/>
              </w:rPr>
              <w:t>2</w:t>
            </w:r>
          </w:p>
        </w:tc>
        <w:tc>
          <w:tcPr>
            <w:tcW w:w="2910" w:type="dxa"/>
            <w:gridSpan w:val="2"/>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社会保险待遇领取情况稽核</w:t>
            </w:r>
          </w:p>
        </w:tc>
        <w:tc>
          <w:tcPr>
            <w:tcW w:w="2640"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《社会保险法》《社会保险稽核办法》</w:t>
            </w:r>
          </w:p>
        </w:tc>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社会保险待遇领取情况。</w:t>
            </w:r>
          </w:p>
        </w:tc>
        <w:tc>
          <w:tcPr>
            <w:tcW w:w="1725"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省、市、县级人社部门分级负责</w:t>
            </w:r>
          </w:p>
        </w:tc>
        <w:tc>
          <w:tcPr>
            <w:tcW w:w="1455"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r>
              <w:rPr>
                <w:rFonts w:hint="eastAsia" w:ascii="宋体" w:hAnsi="宋体"/>
                <w:color w:val="000000"/>
                <w:sz w:val="24"/>
              </w:rPr>
              <w:t>省社保中心、省机关保中心、省城乡居民保中心</w:t>
            </w:r>
          </w:p>
        </w:tc>
        <w:tc>
          <w:tcPr>
            <w:tcW w:w="990" w:type="dxa"/>
            <w:tcBorders>
              <w:top w:val="single" w:color="auto" w:sz="6" w:space="0"/>
              <w:left w:val="single" w:color="auto" w:sz="6" w:space="0"/>
              <w:bottom w:val="single" w:color="auto" w:sz="6" w:space="0"/>
              <w:right w:val="single" w:color="auto"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auto"/>
              <w:outlineLvl w:val="9"/>
              <w:rPr>
                <w:rFonts w:hint="eastAsia" w:ascii="宋体" w:hAnsi="宋体"/>
                <w:color w:val="000000"/>
                <w:sz w:val="24"/>
              </w:rPr>
            </w:pPr>
          </w:p>
        </w:tc>
      </w:tr>
    </w:tbl>
    <w:p/>
    <w:p/>
    <w:p/>
    <w:p/>
    <w:p/>
    <w:p/>
    <w:p/>
    <w:p/>
    <w:p/>
    <w:p/>
    <w:p>
      <w:pPr>
        <w:sectPr>
          <w:pgSz w:w="16838" w:h="11906" w:orient="landscape"/>
          <w:pgMar w:top="1587" w:right="1440" w:bottom="1587" w:left="1440" w:header="851" w:footer="992" w:gutter="0"/>
          <w:paperSrc/>
          <w:cols w:space="0" w:num="1"/>
          <w:rtlGutter w:val="0"/>
          <w:docGrid w:type="lines" w:linePitch="436" w:charSpace="0"/>
        </w:sect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40" w:firstLineChars="0"/>
        <w:jc w:val="both"/>
        <w:textAlignment w:val="auto"/>
        <w:outlineLvl w:val="9"/>
        <w:rPr>
          <w:rFonts w:hint="eastAsia" w:ascii="仿宋_GB2312" w:hAnsi="仿宋_GB2312" w:eastAsia="仿宋_GB2312" w:cs="仿宋_GB2312"/>
          <w:sz w:val="32"/>
          <w:szCs w:val="32"/>
          <w:lang w:val="en-US" w:eastAsia="zh-CN"/>
        </w:rPr>
      </w:pPr>
    </w:p>
    <w:p>
      <w:pPr>
        <w:spacing w:line="520" w:lineRule="exact"/>
        <w:ind w:firstLine="280" w:firstLineChars="100"/>
      </w:pPr>
      <w:bookmarkStart w:id="0" w:name="OLE_LINK1"/>
      <w:r>
        <w:rPr>
          <w:rFonts w:hint="eastAsia" w:ascii="仿宋_GB2312" w:hAnsi="宋体-方正超大字符集" w:eastAsia="仿宋_GB2312" w:cs="宋体-方正超大字符集"/>
          <w:sz w:val="28"/>
          <w:szCs w:val="28"/>
        </w:rPr>
        <mc:AlternateContent>
          <mc:Choice Requires="wpg">
            <w:drawing>
              <wp:anchor distT="0" distB="0" distL="114300" distR="114300" simplePos="0" relativeHeight="251663360" behindDoc="0" locked="0" layoutInCell="1" allowOverlap="1">
                <wp:simplePos x="0" y="0"/>
                <wp:positionH relativeFrom="column">
                  <wp:align>center</wp:align>
                </wp:positionH>
                <wp:positionV relativeFrom="paragraph">
                  <wp:posOffset>40640</wp:posOffset>
                </wp:positionV>
                <wp:extent cx="5615940" cy="307340"/>
                <wp:effectExtent l="0" t="0" r="0" b="0"/>
                <wp:wrapNone/>
                <wp:docPr id="3" name="组合 2"/>
                <wp:cNvGraphicFramePr/>
                <a:graphic xmlns:a="http://schemas.openxmlformats.org/drawingml/2006/main">
                  <a:graphicData uri="http://schemas.microsoft.com/office/word/2010/wordprocessingGroup">
                    <wpg:wgp>
                      <wpg:cNvGrpSpPr/>
                      <wpg:grpSpPr>
                        <a:xfrm>
                          <a:off x="0" y="0"/>
                          <a:ext cx="5615940" cy="307340"/>
                          <a:chOff x="1588" y="4680"/>
                          <a:chExt cx="8844" cy="484"/>
                        </a:xfrm>
                      </wpg:grpSpPr>
                      <wps:wsp>
                        <wps:cNvPr id="1" name="直线 3"/>
                        <wps:cNvSpPr/>
                        <wps:spPr>
                          <a:xfrm>
                            <a:off x="1588" y="4680"/>
                            <a:ext cx="8844" cy="0"/>
                          </a:xfrm>
                          <a:prstGeom prst="line">
                            <a:avLst/>
                          </a:prstGeom>
                          <a:ln w="9525" cap="flat" cmpd="sng">
                            <a:solidFill>
                              <a:srgbClr val="000000"/>
                            </a:solidFill>
                            <a:prstDash val="solid"/>
                            <a:headEnd type="none" w="med" len="med"/>
                            <a:tailEnd type="none" w="med" len="med"/>
                          </a:ln>
                        </wps:spPr>
                        <wps:bodyPr upright="1"/>
                      </wps:wsp>
                      <wps:wsp>
                        <wps:cNvPr id="2" name="直线 4"/>
                        <wps:cNvSpPr/>
                        <wps:spPr>
                          <a:xfrm>
                            <a:off x="1588" y="5164"/>
                            <a:ext cx="8844" cy="0"/>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top:3.2pt;height:24.2pt;width:442.2pt;mso-position-horizontal:center;z-index:251663360;mso-width-relative:page;mso-height-relative:page;" coordorigin="1588,4680" coordsize="8844,484" o:gfxdata="UEsDBAoAAAAAAIdO4kAAAAAAAAAAAAAAAAAEAAAAZHJzL1BLAwQUAAAACACHTuJAG7UgBNYAAAAF&#10;AQAADwAAAGRycy9kb3ducmV2LnhtbE2PQUvDQBCF70L/wzIFb3YTTUuI2RQp6qkItoJ4mybTJDQ7&#10;G7LbpP33jid7m8d7vPdNvr7YTo00+NaxgXgRgSIuXdVybeBr//aQgvIBucLOMRm4kod1MbvLMavc&#10;xJ807kKtpIR9hgaaEPpMa182ZNEvXE8s3tENFoPIodbVgJOU204/RtFKW2xZFhrsadNQedqdrYH3&#10;CaeXp/h13J6Om+vPfvnxvY3JmPt5HD2DCnQJ/2H4wxd0KITp4M5cedUZkEeCgVUCSsw0TeQ4GFgm&#10;Kegi17f0xS9QSwMEFAAAAAgAh07iQOQjzqtcAgAAvwYAAA4AAABkcnMvZTJvRG9jLnhtbO2VvZLT&#10;MBDHe2Z4B416znHiBJ8nzhXkLg0DN3PwAIos25qRJY2kxElPQUnPa1BBwdMw9xqsZMeBkALCDBUp&#10;FH3sSru//0qe3+wagbbMWK5kjuOrEUZMUlVwWeX47Zu7ZylG1hFZEKEky/GeWXyzePpk3uqMjVWt&#10;RMEMgk2kzVqd49o5nUWRpTVriL1SmklYLJVpiIOhqaLCkBZ2b0Q0Ho1mUatMoY2izFqYXXaLeBH2&#10;L0tG3euytMwhkWOIzYXWhHbt22gxJ1lliK457cMgF0TREC7h0GGrJXEEbQz/ZauGU6OsKt0VVU2k&#10;ypJTFnKAbOLRSTYrozY65FJlbaUHTID2hNPF29JX23uDeJHjCUaSNCDR45d33z68R2PPptVVBiYr&#10;ox/0veknqm7k092VpvH/kAjaBar7gSrbOURhcjqLp9cJwKewNhk9n0A/YKc1aOPd4mkKZQKrySwd&#10;1m579zRNks43SRPvGB2OjXx0QzCthgqyR0j27yA91ESzwN56Aj2keID08dPj569o0kEKJgMhm1mA&#10;dQbPmTwPkI5ZBgBDjiTTxroVUw3ynRwLLn1YJCPbl9Z1OA4mflpI1Ob4ejqeAjQCN6oUxEG30aCx&#10;lVXwtUrw4o4L4T2sqdYvhEFb4u9I+PWYfzLzhyyJrTu7sNTJWDNS3MoCub2G6pFwzbEPoWEFRoLB&#10;q+B7QXBHuPgdS8heSBDaS9qh9L21KvYgw0YbXtVAIg5R9rL7Uv0H+o9P9A8F6U+GEvkD/afxLHiS&#10;7L/+ZyrlIv3DawCvZHgg+hfdP8M/jkNNHb87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btSAE&#10;1gAAAAUBAAAPAAAAAAAAAAEAIAAAACIAAABkcnMvZG93bnJldi54bWxQSwECFAAUAAAACACHTuJA&#10;5CPOq1wCAAC/BgAADgAAAAAAAAABACAAAAAlAQAAZHJzL2Uyb0RvYy54bWxQSwUGAAAAAAYABgBZ&#10;AQAA8wUAAAAA&#10;">
                <o:lock v:ext="edit" aspectratio="f"/>
                <v:line id="直线 3" o:spid="_x0000_s1026" o:spt="20" style="position:absolute;left:1588;top:4680;height:0;width:8844;" filled="f" stroked="t" coordsize="21600,21600" o:gfxdata="UEsDBAoAAAAAAIdO4kAAAAAAAAAAAAAAAAAEAAAAZHJzL1BLAwQUAAAACACHTuJA+wCPhLsAAADa&#10;AAAADwAAAGRycy9kb3ducmV2LnhtbEVPTWvCQBC9F/oflin0InVXC0WimxyqgR68mCq9DtkxCc3O&#10;xuw2sf56N1DoaXi8z9lkV9uKgXrfONawmCsQxKUzDVcajp/5ywqED8gGW8ek4Zc8ZOnjwwYT40Y+&#10;0FCESsQQ9glqqEPoEil9WZNFP3cdceTOrrcYIuwraXocY7ht5VKpN2mx4dhQY0fvNZXfxY/V4PMT&#10;XfLbrJypr9fK0fKy3e9Q6+enhVqDCHQN/+I/94eJ82F6Zboyv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PhLsAAADa&#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4" o:spid="_x0000_s1026" o:spt="20" style="position:absolute;left:1588;top:5164;height:0;width:8844;" filled="f" stroked="t" coordsize="21600,21600" o:gfxdata="UEsDBAoAAAAAAIdO4kAAAAAAAAAAAAAAAAAEAAAAZHJzL1BLAwQUAAAACACHTuJAC9IR87wAAADa&#10;AAAADwAAAGRycy9kb3ducmV2LnhtbEWPzYvCMBTE74L/Q3gLe5E1sYJIt9HDamEPe/ELr4/m2Rab&#10;l9rEj/WvN4LgcZiZ3zDZ/GYbcaHO1441jIYKBHHhTM2lhu0m/5qC8AHZYOOYNPyTh/ms38swNe7K&#10;K7qsQykihH2KGqoQ2lRKX1Rk0Q9dSxy9g+sshii7UpoOrxFuG5koNZEWa44LFbb0U1FxXJ+tBp/v&#10;6JTfB8VA7celo+S0+Fui1p8fI/UNItAtvMOv9q/RkMDzSrwB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vSEfO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r>
        <w:rPr>
          <w:rFonts w:hint="eastAsia" w:ascii="仿宋_GB2312" w:hAnsi="宋体-方正超大字符集" w:eastAsia="仿宋_GB2312" w:cs="宋体-方正超大字符集"/>
          <w:sz w:val="28"/>
          <w:szCs w:val="28"/>
        </w:rPr>
        <w:t xml:space="preserve">福州市人力资源和社会保障局办公室        </w:t>
      </w:r>
      <w:r>
        <w:rPr>
          <w:rFonts w:ascii="仿宋_GB2312" w:hAnsi="宋体-方正超大字符集" w:eastAsia="仿宋_GB2312" w:cs="宋体-方正超大字符集"/>
          <w:sz w:val="28"/>
          <w:szCs w:val="28"/>
        </w:rPr>
        <w:t>20</w:t>
      </w:r>
      <w:r>
        <w:rPr>
          <w:rFonts w:hint="eastAsia" w:ascii="仿宋_GB2312" w:hAnsi="宋体-方正超大字符集" w:eastAsia="仿宋_GB2312" w:cs="宋体-方正超大字符集"/>
          <w:sz w:val="28"/>
          <w:szCs w:val="28"/>
          <w:lang w:val="en-US" w:eastAsia="zh-CN"/>
        </w:rPr>
        <w:t>20</w:t>
      </w:r>
      <w:r>
        <w:rPr>
          <w:rFonts w:ascii="仿宋_GB2312" w:hAnsi="宋体-方正超大字符集" w:eastAsia="仿宋_GB2312" w:cs="宋体-方正超大字符集"/>
          <w:sz w:val="28"/>
          <w:szCs w:val="28"/>
        </w:rPr>
        <w:t>年</w:t>
      </w:r>
      <w:r>
        <w:rPr>
          <w:rFonts w:hint="eastAsia" w:ascii="仿宋_GB2312" w:hAnsi="宋体-方正超大字符集" w:eastAsia="仿宋_GB2312" w:cs="宋体-方正超大字符集"/>
          <w:sz w:val="28"/>
          <w:szCs w:val="28"/>
          <w:lang w:val="en-US" w:eastAsia="zh-CN"/>
        </w:rPr>
        <w:t>3</w:t>
      </w:r>
      <w:r>
        <w:rPr>
          <w:rFonts w:ascii="仿宋_GB2312" w:hAnsi="宋体-方正超大字符集" w:eastAsia="仿宋_GB2312" w:cs="宋体-方正超大字符集"/>
          <w:sz w:val="28"/>
          <w:szCs w:val="28"/>
        </w:rPr>
        <w:t>月</w:t>
      </w:r>
      <w:r>
        <w:rPr>
          <w:rFonts w:hint="eastAsia" w:ascii="仿宋_GB2312" w:hAnsi="宋体-方正超大字符集" w:eastAsia="仿宋_GB2312" w:cs="宋体-方正超大字符集"/>
          <w:sz w:val="28"/>
          <w:szCs w:val="28"/>
          <w:lang w:val="en-US" w:eastAsia="zh-CN"/>
        </w:rPr>
        <w:t>23</w:t>
      </w:r>
      <w:r>
        <w:rPr>
          <w:rFonts w:ascii="仿宋_GB2312" w:hAnsi="宋体-方正超大字符集" w:eastAsia="仿宋_GB2312" w:cs="宋体-方正超大字符集"/>
          <w:sz w:val="28"/>
          <w:szCs w:val="28"/>
        </w:rPr>
        <w:t>日</w:t>
      </w:r>
      <w:r>
        <w:rPr>
          <w:rFonts w:hint="eastAsia" w:ascii="仿宋_GB2312" w:hAnsi="宋体-方正超大字符集" w:eastAsia="仿宋_GB2312" w:cs="宋体-方正超大字符集"/>
          <w:sz w:val="28"/>
          <w:szCs w:val="28"/>
        </w:rPr>
        <w:t>印发</w:t>
      </w:r>
      <w:bookmarkEnd w:id="0"/>
    </w:p>
    <w:sectPr>
      <w:pgSz w:w="11906" w:h="16838"/>
      <w:pgMar w:top="1587" w:right="1474" w:bottom="1304" w:left="1587"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隶书">
    <w:panose1 w:val="02010509060101010101"/>
    <w:charset w:val="86"/>
    <w:family w:val="modern"/>
    <w:pitch w:val="default"/>
    <w:sig w:usb0="00000001" w:usb1="080E0000" w:usb2="00000000" w:usb3="00000000" w:csb0="00040000" w:csb1="00000000"/>
  </w:font>
  <w:font w:name="宋体-方正超大字符集">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21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957853"/>
    <w:rsid w:val="24957853"/>
    <w:rsid w:val="75581AED"/>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2020-03-18T01:57:00Z</dcterms:created>
  <dc:creator>user</dc:creator>
  <cp:lastModifiedBy>123</cp:lastModifiedBy>
  <cp:lastPrinted>2020-03-23T08:04:24Z</cp:lastPrinted>
  <dcterms:modified xsi:type="dcterms:W3CDTF">2020-03-23T08:04:27Z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