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00F6F">
      <w:pPr>
        <w:pStyle w:val="17"/>
        <w:pageBreakBefore w:val="0"/>
        <w:widowControl w:val="0"/>
        <w:kinsoku/>
        <w:overflowPunct/>
        <w:topLinePunct w:val="0"/>
        <w:autoSpaceDE/>
        <w:autoSpaceDN/>
        <w:bidi w:val="0"/>
        <w:adjustRightInd/>
        <w:spacing w:line="520" w:lineRule="atLeast"/>
        <w:textAlignment w:val="auto"/>
        <w:rPr>
          <w:rFonts w:hint="eastAsia"/>
        </w:rPr>
      </w:pPr>
      <w:r>
        <w:rPr>
          <w:rFonts w:hint="eastAsia"/>
        </w:rPr>
        <w:t>榕环评〔202</w:t>
      </w:r>
      <w:r>
        <w:rPr>
          <w:rFonts w:hint="eastAsia"/>
          <w:lang w:eastAsia="zh-CN"/>
        </w:rPr>
        <w:t>5</w:t>
      </w:r>
      <w:r>
        <w:rPr>
          <w:rFonts w:hint="eastAsia"/>
        </w:rPr>
        <w:t>〕</w:t>
      </w:r>
      <w:r>
        <w:rPr>
          <w:rFonts w:hint="eastAsia"/>
          <w:highlight w:val="none"/>
          <w:lang w:val="en-US" w:eastAsia="zh-CN"/>
        </w:rPr>
        <w:t>13</w:t>
      </w:r>
      <w:r>
        <w:rPr>
          <w:rFonts w:hint="eastAsia"/>
        </w:rPr>
        <w:t>号</w:t>
      </w:r>
    </w:p>
    <w:p w14:paraId="6FD97EA0">
      <w:pPr>
        <w:pStyle w:val="2"/>
        <w:keepNext/>
        <w:keepLines/>
        <w:pageBreakBefore w:val="0"/>
        <w:widowControl w:val="0"/>
        <w:kinsoku/>
        <w:wordWrap/>
        <w:overflowPunct/>
        <w:topLinePunct w:val="0"/>
        <w:autoSpaceDE/>
        <w:autoSpaceDN/>
        <w:bidi w:val="0"/>
        <w:adjustRightInd/>
        <w:snapToGrid/>
        <w:spacing w:line="520" w:lineRule="exact"/>
        <w:textAlignment w:val="auto"/>
        <w:rPr>
          <w:rFonts w:hint="eastAsia"/>
        </w:rPr>
      </w:pPr>
      <w:r>
        <w:rPr>
          <w:rFonts w:hint="eastAsia"/>
        </w:rPr>
        <w:t>福州</w:t>
      </w:r>
      <w:r>
        <w:rPr>
          <w:rFonts w:hint="eastAsia"/>
          <w:lang w:eastAsia="zh-CN"/>
        </w:rPr>
        <w:t>市生态环境</w:t>
      </w:r>
      <w:r>
        <w:rPr>
          <w:rFonts w:hint="eastAsia"/>
        </w:rPr>
        <w:t>局</w:t>
      </w:r>
    </w:p>
    <w:p w14:paraId="0433269B">
      <w:pPr>
        <w:pStyle w:val="2"/>
        <w:keepNext/>
        <w:keepLines/>
        <w:pageBreakBefore w:val="0"/>
        <w:widowControl w:val="0"/>
        <w:kinsoku/>
        <w:wordWrap/>
        <w:overflowPunct/>
        <w:topLinePunct w:val="0"/>
        <w:autoSpaceDE/>
        <w:autoSpaceDN/>
        <w:bidi w:val="0"/>
        <w:adjustRightInd/>
        <w:snapToGrid/>
        <w:spacing w:line="520" w:lineRule="exact"/>
        <w:textAlignment w:val="auto"/>
        <w:rPr>
          <w:rFonts w:hint="eastAsia"/>
        </w:rPr>
      </w:pPr>
      <w:r>
        <w:rPr>
          <w:rFonts w:hint="eastAsia"/>
          <w:lang w:eastAsia="zh-CN"/>
        </w:rPr>
        <w:t>关于福州红庙岭垃圾焚烧发电厂三期技改项目（固体废物治理）</w:t>
      </w:r>
      <w:r>
        <w:rPr>
          <w:rFonts w:hint="eastAsia"/>
        </w:rPr>
        <w:t>环境影响报告书的审批意见</w:t>
      </w:r>
    </w:p>
    <w:p w14:paraId="65138245">
      <w:pPr>
        <w:pageBreakBefore w:val="0"/>
        <w:widowControl w:val="0"/>
        <w:kinsoku/>
        <w:overflowPunct/>
        <w:topLinePunct w:val="0"/>
        <w:autoSpaceDE/>
        <w:autoSpaceDN/>
        <w:bidi w:val="0"/>
        <w:adjustRightInd/>
        <w:spacing w:line="520" w:lineRule="atLeast"/>
        <w:textAlignment w:val="auto"/>
        <w:rPr>
          <w:rFonts w:hint="eastAsia" w:eastAsia="仿宋_GB2312"/>
          <w:lang w:val="en-US" w:eastAsia="zh-CN"/>
        </w:rPr>
      </w:pPr>
    </w:p>
    <w:p w14:paraId="52FC3F9E">
      <w:pPr>
        <w:pStyle w:val="19"/>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rPr>
      </w:pPr>
      <w:r>
        <w:rPr>
          <w:rFonts w:hint="eastAsia"/>
          <w:lang w:eastAsia="zh-CN"/>
        </w:rPr>
        <w:t>福建保罗环保能源有限公司</w:t>
      </w:r>
      <w:r>
        <w:rPr>
          <w:rFonts w:hint="eastAsia"/>
        </w:rPr>
        <w:t>：</w:t>
      </w:r>
    </w:p>
    <w:p w14:paraId="563BD614">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lang w:val="en-US" w:eastAsia="zh-CN"/>
        </w:rPr>
      </w:pPr>
      <w:r>
        <w:rPr>
          <w:rFonts w:hint="eastAsia"/>
          <w:lang w:val="en-US" w:eastAsia="zh-CN"/>
        </w:rPr>
        <w:t>你司报送的《福州红庙岭垃圾焚烧发电厂三期技改项目（固体废物治理）环境影响评价报告书》（以下简称《报告书》）及申请审批报告收悉。根据《中华人民共和国环境影响评价法》第二十二条等规定，经</w:t>
      </w:r>
      <w:r>
        <w:rPr>
          <w:rFonts w:hint="eastAsia"/>
          <w:lang w:val="en-US" w:eastAsia="zh-CN"/>
        </w:rPr>
        <w:tab/>
      </w:r>
      <w:r>
        <w:rPr>
          <w:rFonts w:hint="eastAsia"/>
          <w:lang w:val="en-US" w:eastAsia="zh-CN"/>
        </w:rPr>
        <w:t>组织技术审查，并征求福州市晋安生态环境局意见，现提出审批意见如下：</w:t>
      </w:r>
    </w:p>
    <w:p w14:paraId="21A74BBC">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color w:val="000000" w:themeColor="text1"/>
          <w:highlight w:val="none"/>
          <w:lang w:val="en-US" w:eastAsia="zh-CN"/>
          <w14:textFill>
            <w14:solidFill>
              <w14:schemeClr w14:val="tx1"/>
            </w14:solidFill>
          </w14:textFill>
        </w:rPr>
      </w:pPr>
      <w:r>
        <w:rPr>
          <w:rFonts w:hint="eastAsia"/>
          <w:highlight w:val="none"/>
          <w:lang w:val="en-US" w:eastAsia="zh-CN"/>
        </w:rPr>
        <w:t>一、</w:t>
      </w:r>
      <w:r>
        <w:rPr>
          <w:rFonts w:hint="eastAsia"/>
          <w:lang w:val="en-US" w:eastAsia="zh-CN"/>
        </w:rPr>
        <w:t>福州红庙岭垃圾焚烧发电厂三期技改项目（固体废物治理）</w:t>
      </w:r>
      <w:r>
        <w:rPr>
          <w:rFonts w:hint="eastAsia"/>
          <w:color w:val="000000" w:themeColor="text1"/>
          <w:highlight w:val="none"/>
          <w:lang w:val="en-US" w:eastAsia="zh-CN"/>
          <w14:textFill>
            <w14:solidFill>
              <w14:schemeClr w14:val="tx1"/>
            </w14:solidFill>
          </w14:textFill>
        </w:rPr>
        <w:t>位于福州市晋安区寿山乡红庙村（红庙岭循环经济生态产业园），现福州红庙岭垃圾焚烧发电厂三期厂区内。项目对现有的SNCR脱硝设施进行改造，同时购置两套PNCR脱硝装置。增设1座120m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污泥仓及污泥输送设施，对垃圾坑进行改造，设置专门的一般固体废物贮存区。垃圾处置对象由生活垃圾调整为，在优先处理生活垃圾的前提下，掺烧一般工业固体废物和污泥。总处理规模维持1200t/d不变。</w:t>
      </w:r>
    </w:p>
    <w:p w14:paraId="6F57B90C">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default"/>
          <w:lang w:val="en-US" w:eastAsia="zh-CN"/>
        </w:rPr>
      </w:pPr>
      <w:r>
        <w:rPr>
          <w:rFonts w:hint="eastAsia"/>
          <w:lang w:val="en-US" w:eastAsia="zh-CN"/>
        </w:rPr>
        <w:t>根据《报告书》评价结论和福州市环境影响评价技术中心的技术评估报告（编号2-20</w:t>
      </w:r>
      <w:r>
        <w:rPr>
          <w:rFonts w:hint="eastAsia"/>
          <w:highlight w:val="none"/>
          <w:lang w:val="en-US" w:eastAsia="zh-CN"/>
        </w:rPr>
        <w:t>25</w:t>
      </w:r>
      <w:r>
        <w:rPr>
          <w:rFonts w:hint="eastAsia"/>
          <w:lang w:val="en-US" w:eastAsia="zh-CN"/>
        </w:rPr>
        <w:t>-007）</w:t>
      </w:r>
      <w:r>
        <w:rPr>
          <w:rFonts w:hint="eastAsia"/>
          <w:highlight w:val="none"/>
          <w:lang w:val="en-US" w:eastAsia="zh-CN"/>
        </w:rPr>
        <w:t>，</w:t>
      </w:r>
      <w:r>
        <w:rPr>
          <w:rFonts w:hint="eastAsia"/>
        </w:rPr>
        <w:t>该</w:t>
      </w:r>
      <w:r>
        <w:rPr>
          <w:rFonts w:hint="eastAsia"/>
          <w:lang w:eastAsia="zh-CN"/>
        </w:rPr>
        <w:t>项目建设符合国家产业政策和福州市生态环境分区管控要求，符合</w:t>
      </w:r>
      <w:r>
        <w:rPr>
          <w:rFonts w:hint="eastAsia"/>
          <w:highlight w:val="none"/>
          <w:lang w:eastAsia="zh-CN"/>
        </w:rPr>
        <w:t>《福建省生活垃圾焚烧发电中长期专项规划（2019-2030年）》《福州市红庙岭循环经济生态产业园专项规划（修编）》</w:t>
      </w:r>
      <w:r>
        <w:rPr>
          <w:rFonts w:hint="eastAsia"/>
          <w:color w:val="000000" w:themeColor="text1"/>
          <w:highlight w:val="none"/>
          <w:lang w:val="en-US" w:eastAsia="zh-CN"/>
          <w14:textFill>
            <w14:solidFill>
              <w14:schemeClr w14:val="tx1"/>
            </w14:solidFill>
          </w14:textFill>
        </w:rPr>
        <w:t>要求</w:t>
      </w:r>
      <w:r>
        <w:rPr>
          <w:rFonts w:hint="eastAsia"/>
          <w:lang w:val="en-US" w:eastAsia="zh-CN"/>
        </w:rPr>
        <w:t>。在严格落实《报告书》提出的各项环境保护措施，加强环境管理的前提下，从环境影响角度分析，项目建设可行。</w:t>
      </w:r>
      <w:r>
        <w:rPr>
          <w:rFonts w:hint="eastAsia"/>
        </w:rPr>
        <w:t>同意</w:t>
      </w:r>
      <w:r>
        <w:rPr>
          <w:rFonts w:hint="eastAsia"/>
          <w:lang w:eastAsia="zh-CN"/>
        </w:rPr>
        <w:t>项目</w:t>
      </w:r>
      <w:r>
        <w:rPr>
          <w:rFonts w:hint="eastAsia"/>
        </w:rPr>
        <w:t>按照</w:t>
      </w:r>
      <w:r>
        <w:rPr>
          <w:rFonts w:hint="eastAsia"/>
          <w:lang w:val="en-US" w:eastAsia="zh-CN"/>
        </w:rPr>
        <w:t>《报告书》</w:t>
      </w:r>
      <w:r>
        <w:rPr>
          <w:rFonts w:hint="eastAsia"/>
        </w:rPr>
        <w:t>中所列的性质、规模、地点、采用的生产工艺</w:t>
      </w:r>
      <w:r>
        <w:rPr>
          <w:rFonts w:hint="eastAsia"/>
          <w:lang w:eastAsia="zh-CN"/>
        </w:rPr>
        <w:t>和</w:t>
      </w:r>
      <w:r>
        <w:rPr>
          <w:rFonts w:hint="eastAsia"/>
        </w:rPr>
        <w:t>防治污染、防止生态破坏的措施进行建设</w:t>
      </w:r>
      <w:r>
        <w:rPr>
          <w:rFonts w:hint="eastAsia"/>
          <w:lang w:val="en-US" w:eastAsia="zh-CN"/>
        </w:rPr>
        <w:t>。</w:t>
      </w:r>
    </w:p>
    <w:p w14:paraId="56CF556E">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lang w:eastAsia="zh-CN"/>
        </w:rPr>
      </w:pPr>
      <w:r>
        <w:rPr>
          <w:rFonts w:hint="eastAsia"/>
          <w:lang w:val="en-US" w:eastAsia="zh-CN"/>
        </w:rPr>
        <w:t>二、</w:t>
      </w:r>
      <w:r>
        <w:rPr>
          <w:rFonts w:hint="eastAsia"/>
          <w:lang w:eastAsia="zh-CN"/>
        </w:rPr>
        <w:t>项目在设计、施工和运营中应认真落实《报告书》提出的各项环境保护措施，确保污染物达标排放。企业应按照“以新带老”的要求</w:t>
      </w:r>
      <w:r>
        <w:rPr>
          <w:rFonts w:hint="eastAsia"/>
          <w:color w:val="000000" w:themeColor="text1"/>
          <w:lang w:eastAsia="zh-CN"/>
          <w14:textFill>
            <w14:solidFill>
              <w14:schemeClr w14:val="tx1"/>
            </w14:solidFill>
          </w14:textFill>
        </w:rPr>
        <w:t>，完成现有环保问题提升整改，</w:t>
      </w:r>
      <w:r>
        <w:rPr>
          <w:rFonts w:hint="eastAsia"/>
          <w:lang w:eastAsia="zh-CN"/>
        </w:rPr>
        <w:t>并重点做好以下工作：</w:t>
      </w:r>
    </w:p>
    <w:p w14:paraId="7E2E678B">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b w:val="0"/>
          <w:bCs w:val="0"/>
          <w:sz w:val="32"/>
          <w:szCs w:val="32"/>
          <w:highlight w:val="none"/>
          <w:lang w:val="en-US" w:eastAsia="zh-CN"/>
        </w:rPr>
      </w:pPr>
      <w:r>
        <w:rPr>
          <w:rFonts w:hint="eastAsia"/>
          <w:b w:val="0"/>
          <w:bCs w:val="0"/>
          <w:lang w:val="en-US" w:eastAsia="zh-CN"/>
        </w:rPr>
        <w:t>（一）水污染防治。</w:t>
      </w:r>
      <w:r>
        <w:rPr>
          <w:rFonts w:hint="eastAsia"/>
          <w:color w:val="000000" w:themeColor="text1"/>
          <w:highlight w:val="none"/>
          <w:lang w:val="en-US" w:eastAsia="zh-CN"/>
          <w14:textFill>
            <w14:solidFill>
              <w14:schemeClr w14:val="tx1"/>
            </w14:solidFill>
          </w14:textFill>
        </w:rPr>
        <w:t>按照“雨污分流，清污分流”的原则</w:t>
      </w:r>
      <w:r>
        <w:rPr>
          <w:rFonts w:hint="eastAsia"/>
          <w:b w:val="0"/>
          <w:bCs w:val="0"/>
          <w:color w:val="000000" w:themeColor="text1"/>
          <w:highlight w:val="none"/>
          <w:lang w:val="en-US" w:eastAsia="zh-CN"/>
          <w14:textFill>
            <w14:solidFill>
              <w14:schemeClr w14:val="tx1"/>
            </w14:solidFill>
          </w14:textFill>
        </w:rPr>
        <w:t>，初期雨水依托现有150m</w:t>
      </w:r>
      <w:r>
        <w:rPr>
          <w:rFonts w:hint="eastAsia"/>
          <w:b w:val="0"/>
          <w:bCs w:val="0"/>
          <w:color w:val="000000" w:themeColor="text1"/>
          <w:highlight w:val="none"/>
          <w:vertAlign w:val="superscript"/>
          <w:lang w:val="en-US" w:eastAsia="zh-CN"/>
          <w14:textFill>
            <w14:solidFill>
              <w14:schemeClr w14:val="tx1"/>
            </w14:solidFill>
          </w14:textFill>
        </w:rPr>
        <w:t>3</w:t>
      </w:r>
      <w:r>
        <w:rPr>
          <w:rFonts w:hint="eastAsia"/>
          <w:b w:val="0"/>
          <w:bCs w:val="0"/>
          <w:color w:val="000000" w:themeColor="text1"/>
          <w:highlight w:val="none"/>
          <w:lang w:val="en-US" w:eastAsia="zh-CN"/>
          <w14:textFill>
            <w14:solidFill>
              <w14:schemeClr w14:val="tx1"/>
            </w14:solidFill>
          </w14:textFill>
        </w:rPr>
        <w:t>初期雨水池收集后与渗滤液一同排入红庙岭垃圾渗滤液处理厂。渗滤液、垃圾卸料平台和垃圾车车辆冲洗水、污泥贮存设施的卸料平台和运输车辆冲洗水等高浓度有机废水经渗滤液专用管道排入红庙岭垃圾渗滤液处理厂处置达标后排入洋里污水处理厂处理。</w:t>
      </w:r>
      <w:r>
        <w:rPr>
          <w:rFonts w:hint="eastAsia"/>
          <w:b w:val="0"/>
          <w:bCs w:val="0"/>
          <w:color w:val="000000" w:themeColor="text1"/>
          <w:sz w:val="32"/>
          <w:szCs w:val="32"/>
          <w:highlight w:val="none"/>
          <w:lang w:val="en-US" w:eastAsia="zh-CN"/>
          <w14:textFill>
            <w14:solidFill>
              <w14:schemeClr w14:val="tx1"/>
            </w14:solidFill>
          </w14:textFill>
        </w:rPr>
        <w:t>焚烧炉正常运行时，除盐水系统排水、锅炉排污水、冷却循环排污水等低浓度无机废水，经中水处理系统处理后回用于烟气净化系统、卸料大厅冲洗、运输道路及地磅区冲洗、车辆冲洗等。</w:t>
      </w:r>
      <w:r>
        <w:rPr>
          <w:rFonts w:hint="eastAsia"/>
          <w:b w:val="0"/>
          <w:bCs w:val="0"/>
          <w:sz w:val="32"/>
          <w:szCs w:val="32"/>
          <w:highlight w:val="none"/>
          <w:lang w:val="en-US" w:eastAsia="zh-CN"/>
        </w:rPr>
        <w:t>焚烧炉停炉检修期间锅炉污水通过市政污水管网排入洋里污水处理厂。生活污水经市政污水管网排入洋里污水处理厂集中处理。</w:t>
      </w:r>
    </w:p>
    <w:p w14:paraId="59453576">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b w:val="0"/>
          <w:bCs w:val="0"/>
          <w:color w:val="000000" w:themeColor="text1"/>
          <w:highlight w:val="yellow"/>
          <w:lang w:val="en-US" w:eastAsia="zh-CN"/>
          <w14:textFill>
            <w14:solidFill>
              <w14:schemeClr w14:val="tx1"/>
            </w14:solidFill>
          </w14:textFill>
        </w:rPr>
      </w:pPr>
      <w:r>
        <w:rPr>
          <w:rFonts w:hint="eastAsia"/>
          <w:b w:val="0"/>
          <w:bCs w:val="0"/>
          <w:highlight w:val="none"/>
          <w:lang w:val="en-US" w:eastAsia="zh-CN"/>
        </w:rPr>
        <w:t>（二）大气污染防治。</w:t>
      </w:r>
      <w:r>
        <w:rPr>
          <w:rFonts w:hint="eastAsia" w:cs="仿宋_GB2312"/>
          <w:i w:val="0"/>
          <w:caps w:val="0"/>
          <w:color w:val="auto"/>
          <w:spacing w:val="0"/>
          <w:kern w:val="0"/>
          <w:sz w:val="32"/>
          <w:szCs w:val="32"/>
          <w:highlight w:val="none"/>
          <w:shd w:val="clear" w:fill="FFFFFF"/>
          <w:lang w:val="en-US" w:eastAsia="zh-CN" w:bidi="ar"/>
        </w:rPr>
        <w:t>加强对各类废气的控制、收集与处理。</w:t>
      </w:r>
      <w:r>
        <w:rPr>
          <w:rFonts w:hint="eastAsia"/>
          <w:b w:val="0"/>
          <w:bCs w:val="0"/>
          <w:color w:val="000000" w:themeColor="text1"/>
          <w:highlight w:val="none"/>
          <w:lang w:val="en-US" w:eastAsia="zh-CN"/>
          <w14:textFill>
            <w14:solidFill>
              <w14:schemeClr w14:val="tx1"/>
            </w14:solidFill>
          </w14:textFill>
        </w:rPr>
        <w:t>焚烧烟气采用“SNCR+PNCR系统脱硝（炉内脱硝）+半干法+干法脱酸+活性炭吸附+布袋除尘器工艺”处理后，由2筒80米排气筒高空排放。污泥贮存臭气</w:t>
      </w:r>
      <w:r>
        <w:rPr>
          <w:rFonts w:hint="eastAsia"/>
          <w:b w:val="0"/>
          <w:bCs w:val="0"/>
          <w:color w:val="auto"/>
          <w:highlight w:val="none"/>
          <w:u w:val="none"/>
          <w:lang w:val="en-US" w:eastAsia="zh-CN"/>
        </w:rPr>
        <w:t>经</w:t>
      </w:r>
      <w:r>
        <w:rPr>
          <w:rFonts w:hint="eastAsia"/>
          <w:b w:val="0"/>
          <w:bCs w:val="0"/>
          <w:color w:val="auto"/>
          <w:highlight w:val="none"/>
          <w:lang w:val="en-US" w:eastAsia="zh-CN"/>
        </w:rPr>
        <w:t>负压收集，通过风机引到垃圾储坑废气收集系统处理。</w:t>
      </w:r>
      <w:r>
        <w:rPr>
          <w:rFonts w:hint="eastAsia"/>
          <w:b w:val="0"/>
          <w:bCs w:val="0"/>
          <w:color w:val="000000" w:themeColor="text1"/>
          <w:highlight w:val="none"/>
          <w:lang w:val="en-US" w:eastAsia="zh-CN"/>
          <w14:textFill>
            <w14:solidFill>
              <w14:schemeClr w14:val="tx1"/>
            </w14:solidFill>
          </w14:textFill>
        </w:rPr>
        <w:t>焚烧炉正常运行时，恶臭气体由风机引到焚烧炉；焚烧炉停炉检修期间，恶臭气体通过垃圾贮坑活性炭除臭装置过滤后达标排放。</w:t>
      </w:r>
      <w:r>
        <w:rPr>
          <w:rFonts w:hint="eastAsia" w:ascii="仿宋_GB2312" w:eastAsia="仿宋_GB2312"/>
          <w:spacing w:val="-4"/>
          <w:sz w:val="32"/>
          <w:szCs w:val="32"/>
        </w:rPr>
        <w:t>飞灰、石灰、活性炭贮存废气依托现有工程的仓顶袋式除尘器除尘后排放</w:t>
      </w:r>
      <w:r>
        <w:rPr>
          <w:rFonts w:hint="eastAsia"/>
          <w:spacing w:val="-4"/>
          <w:sz w:val="32"/>
          <w:szCs w:val="32"/>
          <w:lang w:eastAsia="zh-CN"/>
        </w:rPr>
        <w:t>。</w:t>
      </w:r>
      <w:r>
        <w:rPr>
          <w:rFonts w:hint="eastAsia" w:ascii="仿宋_GB2312" w:eastAsia="仿宋_GB2312"/>
          <w:bCs/>
          <w:sz w:val="32"/>
          <w:szCs w:val="32"/>
        </w:rPr>
        <w:t>设立烟气在线监测仪</w:t>
      </w:r>
      <w:r>
        <w:rPr>
          <w:rFonts w:hint="eastAsia"/>
          <w:bCs/>
          <w:sz w:val="32"/>
          <w:szCs w:val="32"/>
          <w:lang w:eastAsia="zh-CN"/>
        </w:rPr>
        <w:t>，</w:t>
      </w:r>
      <w:r>
        <w:rPr>
          <w:rFonts w:hint="eastAsia" w:ascii="仿宋_GB2312" w:hAnsi="仿宋_GB2312" w:eastAsia="仿宋_GB2312" w:cs="仿宋_GB2312"/>
          <w:sz w:val="32"/>
          <w:szCs w:val="32"/>
          <w:highlight w:val="none"/>
          <w:lang w:val="en-US" w:eastAsia="zh-CN"/>
        </w:rPr>
        <w:t>并与生态环境部门联网</w:t>
      </w:r>
      <w:r>
        <w:rPr>
          <w:rFonts w:hint="eastAsia" w:cs="仿宋_GB2312"/>
          <w:sz w:val="32"/>
          <w:szCs w:val="32"/>
          <w:highlight w:val="none"/>
          <w:lang w:val="en-US" w:eastAsia="zh-CN"/>
        </w:rPr>
        <w:t>。</w:t>
      </w:r>
      <w:r>
        <w:rPr>
          <w:rFonts w:hint="eastAsia"/>
          <w:b w:val="0"/>
          <w:bCs w:val="0"/>
          <w:color w:val="000000" w:themeColor="text1"/>
          <w:highlight w:val="none"/>
          <w:lang w:val="en-US" w:eastAsia="zh-CN"/>
          <w14:textFill>
            <w14:solidFill>
              <w14:schemeClr w14:val="tx1"/>
            </w14:solidFill>
          </w14:textFill>
        </w:rPr>
        <w:t>根据《报告书》评价结论及技术评估意见，本项目实施后，全厂环境防护距离为厂界外延300米，在此范围内不得有居民区、学校、医院、行政办公和科研等环境敏感目标，你司应继续配合做好环境防护距离内的规划用地控制工作。</w:t>
      </w:r>
    </w:p>
    <w:p w14:paraId="01738B41">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b w:val="0"/>
          <w:bCs w:val="0"/>
          <w:lang w:val="en-US" w:eastAsia="zh-CN"/>
        </w:rPr>
      </w:pPr>
      <w:r>
        <w:rPr>
          <w:rFonts w:hint="eastAsia"/>
          <w:b w:val="0"/>
          <w:bCs w:val="0"/>
          <w:lang w:val="en-US" w:eastAsia="zh-CN"/>
        </w:rPr>
        <w:t>（三）噪声污染防治。优化高噪声设备布局，优先选用低噪声设备，采取基础减震、墙体隔声等措施减声降噪，确保噪声达标排放。</w:t>
      </w:r>
    </w:p>
    <w:p w14:paraId="34CED41F">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b w:val="0"/>
          <w:bCs w:val="0"/>
          <w:color w:val="000000" w:themeColor="text1"/>
          <w:lang w:val="en-US" w:eastAsia="zh-CN"/>
          <w14:textFill>
            <w14:solidFill>
              <w14:schemeClr w14:val="tx1"/>
            </w14:solidFill>
          </w14:textFill>
        </w:rPr>
      </w:pPr>
      <w:r>
        <w:rPr>
          <w:rFonts w:hint="eastAsia"/>
          <w:b w:val="0"/>
          <w:bCs w:val="0"/>
          <w:lang w:val="en-US" w:eastAsia="zh-CN"/>
        </w:rPr>
        <w:t>（四）固体废物污染防治。按照“减量化、无害化、资源化”原则，对固体废物实施分类收集、贮存、处理和处置。</w:t>
      </w:r>
      <w:r>
        <w:rPr>
          <w:rFonts w:hint="eastAsia"/>
          <w:b w:val="0"/>
          <w:bCs w:val="0"/>
          <w:highlight w:val="none"/>
          <w:lang w:val="en-US" w:eastAsia="zh-CN"/>
        </w:rPr>
        <w:t>项目危险废物和一般工业固体废物依托现有工程固体废物处置措施进行处理，要求规范建立固体废物管理台账，加强全过程规范化管理。</w:t>
      </w:r>
      <w:r>
        <w:rPr>
          <w:rFonts w:hint="eastAsia" w:ascii="仿宋_GB2312" w:hAnsi="仿宋_GB2312" w:eastAsia="仿宋_GB2312" w:cs="仿宋_GB2312"/>
          <w:b w:val="0"/>
          <w:bCs w:val="0"/>
          <w:lang w:val="en-US" w:eastAsia="zh-CN"/>
        </w:rPr>
        <w:t>废润滑油、废液压油、废活性炭、废滤袋、废石棉</w:t>
      </w:r>
      <w:r>
        <w:rPr>
          <w:rFonts w:hint="eastAsia" w:ascii="仿宋_GB2312" w:hAnsi="仿宋_GB2312" w:cs="仿宋_GB2312"/>
          <w:b w:val="0"/>
          <w:bCs w:val="0"/>
          <w:lang w:val="en-US" w:eastAsia="zh-CN"/>
        </w:rPr>
        <w:t>、</w:t>
      </w:r>
      <w:r>
        <w:rPr>
          <w:rFonts w:hint="eastAsia" w:ascii="仿宋_GB2312" w:hAnsi="仿宋_GB2312" w:eastAsia="仿宋_GB2312" w:cs="仿宋_GB2312"/>
          <w:b w:val="0"/>
          <w:bCs w:val="0"/>
          <w:lang w:val="en-US" w:eastAsia="zh-CN"/>
        </w:rPr>
        <w:t>飞灰</w:t>
      </w:r>
      <w:r>
        <w:rPr>
          <w:rFonts w:hint="eastAsia" w:ascii="仿宋_GB2312" w:hAnsi="仿宋_GB2312" w:cs="仿宋_GB2312"/>
          <w:b w:val="0"/>
          <w:bCs w:val="0"/>
          <w:lang w:val="en-US" w:eastAsia="zh-CN"/>
        </w:rPr>
        <w:t>、</w:t>
      </w:r>
      <w:r>
        <w:rPr>
          <w:rFonts w:hint="eastAsia" w:ascii="仿宋_GB2312" w:hAnsi="仿宋_GB2312" w:eastAsia="仿宋_GB2312" w:cs="仿宋_GB2312"/>
          <w:b w:val="0"/>
          <w:bCs w:val="0"/>
          <w:lang w:val="en-US" w:eastAsia="zh-CN"/>
        </w:rPr>
        <w:t>废铅酸电池</w:t>
      </w:r>
      <w:r>
        <w:rPr>
          <w:rFonts w:hint="eastAsia"/>
          <w:b w:val="0"/>
          <w:bCs w:val="0"/>
          <w:highlight w:val="none"/>
          <w:lang w:val="en-US" w:eastAsia="zh-CN"/>
        </w:rPr>
        <w:t>等危险废物应委托有资质单位处置。炉渣等一般工业固体废物委托有资质单位处置；生活垃圾定点分类收集，由环卫部门统一清运</w:t>
      </w:r>
      <w:r>
        <w:rPr>
          <w:rFonts w:hint="eastAsia"/>
          <w:b w:val="0"/>
          <w:bCs w:val="0"/>
          <w:lang w:val="en-US" w:eastAsia="zh-CN"/>
        </w:rPr>
        <w:t>。</w:t>
      </w:r>
    </w:p>
    <w:p w14:paraId="2C7087F5">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b w:val="0"/>
          <w:bCs w:val="0"/>
          <w:lang w:val="en-US" w:eastAsia="zh-CN"/>
        </w:rPr>
      </w:pPr>
      <w:r>
        <w:rPr>
          <w:rFonts w:hint="eastAsia"/>
          <w:b w:val="0"/>
          <w:bCs w:val="0"/>
          <w:lang w:val="en-US" w:eastAsia="zh-CN"/>
        </w:rPr>
        <w:t>（五）土壤和地下水防治。按照相关技术规范及《报告书》要求严格落实分区防渗措施，</w:t>
      </w:r>
      <w:r>
        <w:rPr>
          <w:rFonts w:hint="eastAsia" w:ascii="仿宋_GB2312" w:hAnsi="仿宋_GB2312" w:eastAsia="仿宋_GB2312" w:cs="仿宋_GB2312"/>
          <w:b w:val="0"/>
          <w:bCs w:val="0"/>
          <w:sz w:val="32"/>
          <w:szCs w:val="32"/>
          <w:highlight w:val="none"/>
          <w:lang w:val="en-US" w:eastAsia="zh-CN"/>
        </w:rPr>
        <w:t>并设置地下水监测井</w:t>
      </w:r>
      <w:r>
        <w:rPr>
          <w:rFonts w:hint="eastAsia" w:cs="仿宋_GB2312"/>
          <w:b w:val="0"/>
          <w:bCs w:val="0"/>
          <w:sz w:val="32"/>
          <w:szCs w:val="32"/>
          <w:highlight w:val="none"/>
          <w:lang w:val="en-US" w:eastAsia="zh-CN"/>
        </w:rPr>
        <w:t>。</w:t>
      </w:r>
      <w:r>
        <w:rPr>
          <w:rFonts w:hint="eastAsia"/>
          <w:b w:val="0"/>
          <w:bCs w:val="0"/>
          <w:lang w:val="en-US" w:eastAsia="zh-CN"/>
        </w:rPr>
        <w:t>建立完善的土壤和地下水监测制度，防止土壤及地下水污染。</w:t>
      </w:r>
      <w:r>
        <w:rPr>
          <w:rFonts w:hint="eastAsia"/>
          <w:b w:val="0"/>
          <w:bCs w:val="0"/>
          <w:color w:val="000000" w:themeColor="text1"/>
          <w:highlight w:val="none"/>
          <w:lang w:val="en-US" w:eastAsia="zh-CN"/>
          <w14:textFill>
            <w14:solidFill>
              <w14:schemeClr w14:val="tx1"/>
            </w14:solidFill>
          </w14:textFill>
        </w:rPr>
        <w:t>若出现土壤或地下水污染，应立即启动应急预案和应急措施，减少对土壤和地下水的不利影响。</w:t>
      </w:r>
    </w:p>
    <w:p w14:paraId="1FE87C3C">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b w:val="0"/>
          <w:bCs w:val="0"/>
          <w:lang w:val="en-US" w:eastAsia="zh-CN"/>
        </w:rPr>
      </w:pPr>
      <w:r>
        <w:rPr>
          <w:rFonts w:hint="eastAsia"/>
          <w:b w:val="0"/>
          <w:bCs w:val="0"/>
          <w:lang w:val="en-US" w:eastAsia="zh-CN"/>
        </w:rPr>
        <w:t>（六）环境风险防范。强化环境风险管理，落实环境风险防范措施。及时修编企业突发环境事件应急预案，充分衔接政府及有关部门的应急预案。储备足够的环境事故应急物资及装备，定期开展环境事故应急演练。</w:t>
      </w:r>
      <w:r>
        <w:rPr>
          <w:rFonts w:hint="eastAsia" w:cs="仿宋_GB2312"/>
          <w:b w:val="0"/>
          <w:bCs/>
          <w:color w:val="auto"/>
          <w:sz w:val="32"/>
          <w:szCs w:val="32"/>
          <w:highlight w:val="none"/>
          <w:lang w:val="en-US" w:eastAsia="zh-CN"/>
        </w:rPr>
        <w:t>应按照“以新带老”要求，将柴油储罐区设置的40cm围堰增至100cm。</w:t>
      </w:r>
    </w:p>
    <w:p w14:paraId="24DBF177">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default"/>
          <w:highlight w:val="yellow"/>
          <w:lang w:val="en-US" w:eastAsia="zh-CN"/>
        </w:rPr>
      </w:pPr>
      <w:r>
        <w:rPr>
          <w:rFonts w:hint="eastAsia"/>
          <w:b w:val="0"/>
          <w:bCs w:val="0"/>
          <w:highlight w:val="none"/>
          <w:lang w:val="en-US" w:eastAsia="zh-CN"/>
        </w:rPr>
        <w:t>（七）环境管理。加强企业环境管理能力建设，严格执行环境保护“三同时”制度。加强施工期环境保护管理，控制施工期扬尘、废水、噪声等对周边环境的影响</w:t>
      </w:r>
      <w:r>
        <w:rPr>
          <w:rFonts w:hint="default"/>
          <w:highlight w:val="none"/>
          <w:lang w:val="en-US" w:eastAsia="zh-CN"/>
        </w:rPr>
        <w:t>。</w:t>
      </w:r>
      <w:r>
        <w:rPr>
          <w:rFonts w:hint="eastAsia"/>
          <w:b w:val="0"/>
          <w:bCs w:val="0"/>
          <w:highlight w:val="none"/>
          <w:lang w:val="en-US" w:eastAsia="zh-CN"/>
        </w:rPr>
        <w:t>严格落实环境监测计划，按照《报告书》内的监测点位、项目</w:t>
      </w:r>
      <w:r>
        <w:rPr>
          <w:rFonts w:hint="eastAsia"/>
          <w:highlight w:val="none"/>
          <w:lang w:val="en-US" w:eastAsia="zh-CN"/>
        </w:rPr>
        <w:t>及频次组织开展环境监测。</w:t>
      </w:r>
      <w:r>
        <w:rPr>
          <w:rFonts w:hint="default"/>
          <w:highlight w:val="none"/>
          <w:lang w:val="en-US" w:eastAsia="zh-CN"/>
        </w:rPr>
        <w:t>按照《企业事业单位环境信息公开办法》</w:t>
      </w:r>
      <w:r>
        <w:rPr>
          <w:rFonts w:hint="eastAsia"/>
          <w:highlight w:val="none"/>
          <w:lang w:val="en-US" w:eastAsia="zh-CN"/>
        </w:rPr>
        <w:t>，</w:t>
      </w:r>
      <w:r>
        <w:rPr>
          <w:rFonts w:hint="default"/>
          <w:highlight w:val="none"/>
          <w:lang w:val="en-US" w:eastAsia="zh-CN"/>
        </w:rPr>
        <w:t>及时主动公开企业环境信息，自觉接受社会监督</w:t>
      </w:r>
      <w:r>
        <w:rPr>
          <w:rFonts w:hint="eastAsia"/>
          <w:b w:val="0"/>
          <w:bCs w:val="0"/>
          <w:color w:val="000000" w:themeColor="text1"/>
          <w:lang w:val="en-US" w:eastAsia="zh-CN"/>
          <w14:textFill>
            <w14:solidFill>
              <w14:schemeClr w14:val="tx1"/>
            </w14:solidFill>
          </w14:textFill>
        </w:rPr>
        <w:t>。</w:t>
      </w:r>
    </w:p>
    <w:p w14:paraId="2CDF2CB9">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b w:val="0"/>
          <w:bCs w:val="0"/>
          <w:lang w:val="en-US" w:eastAsia="zh-CN"/>
        </w:rPr>
      </w:pPr>
      <w:r>
        <w:rPr>
          <w:rFonts w:hint="eastAsia"/>
          <w:b w:val="0"/>
          <w:bCs w:val="0"/>
          <w:lang w:val="en-US" w:eastAsia="zh-CN"/>
        </w:rPr>
        <w:t>三、污染物排放标准</w:t>
      </w:r>
    </w:p>
    <w:p w14:paraId="45726CBD">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lang w:val="en-US" w:eastAsia="zh-CN"/>
        </w:rPr>
      </w:pPr>
      <w:r>
        <w:rPr>
          <w:rFonts w:hint="eastAsia"/>
          <w:b w:val="0"/>
          <w:bCs w:val="0"/>
          <w:color w:val="auto"/>
          <w:lang w:val="en-US" w:eastAsia="zh-CN"/>
        </w:rPr>
        <w:t>（一）废水。</w:t>
      </w:r>
      <w:r>
        <w:rPr>
          <w:rFonts w:hint="eastAsia"/>
          <w:b w:val="0"/>
          <w:bCs w:val="0"/>
          <w:color w:val="000000" w:themeColor="text1"/>
          <w:u w:val="none"/>
          <w:lang w:val="en-US" w:eastAsia="zh-CN"/>
          <w14:textFill>
            <w14:solidFill>
              <w14:schemeClr w14:val="tx1"/>
            </w14:solidFill>
          </w14:textFill>
        </w:rPr>
        <w:t>生活污水及停炉期间锅炉排污水</w:t>
      </w:r>
      <w:r>
        <w:rPr>
          <w:rFonts w:hint="eastAsia"/>
          <w:b w:val="0"/>
          <w:bCs w:val="0"/>
          <w:color w:val="auto"/>
          <w:lang w:val="en-US" w:eastAsia="zh-CN"/>
        </w:rPr>
        <w:t>排入市政污水管网纳入福州市洋里污水处理厂集中处理执行《污水综合排放标准》（GB8978-1996）表4三级标准限值。</w:t>
      </w:r>
    </w:p>
    <w:p w14:paraId="5712F6FF">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b w:val="0"/>
          <w:bCs w:val="0"/>
          <w:highlight w:val="yellow"/>
          <w:lang w:val="en-US" w:eastAsia="zh-CN"/>
        </w:rPr>
      </w:pPr>
      <w:r>
        <w:rPr>
          <w:rFonts w:hint="eastAsia"/>
          <w:b w:val="0"/>
          <w:bCs w:val="0"/>
          <w:lang w:val="en-US" w:eastAsia="zh-CN"/>
        </w:rPr>
        <w:t>（二）废气。</w:t>
      </w:r>
      <w:r>
        <w:rPr>
          <w:rFonts w:hint="eastAsia"/>
          <w:b w:val="0"/>
          <w:bCs w:val="0"/>
          <w:highlight w:val="none"/>
          <w:lang w:val="en-US" w:eastAsia="zh-CN"/>
        </w:rPr>
        <w:t>焚烧烟气中氮氧化物有组织排放执行《生活垃圾焚烧氮氧化物排放标准》（DB35/1976-2021）表1排放限值；颗粒物、酸性气体、重金属、二噁英等有组织排放执行《生活垃圾焚烧污染控制标准》（GB18485-2014）及修改单中标准限值要求。</w:t>
      </w:r>
      <w:bookmarkStart w:id="0" w:name="OLE_LINK62"/>
      <w:r>
        <w:rPr>
          <w:rFonts w:hint="eastAsia"/>
          <w:b w:val="0"/>
          <w:bCs w:val="0"/>
          <w:color w:val="auto"/>
          <w:highlight w:val="none"/>
          <w:lang w:val="en-US" w:eastAsia="zh-CN"/>
        </w:rPr>
        <w:t>恶臭气体中NH</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、H</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S、臭气浓度</w:t>
      </w:r>
      <w:bookmarkEnd w:id="0"/>
      <w:r>
        <w:rPr>
          <w:rFonts w:hint="eastAsia"/>
          <w:b w:val="0"/>
          <w:bCs w:val="0"/>
          <w:color w:val="auto"/>
          <w:highlight w:val="none"/>
          <w:lang w:val="en-US" w:eastAsia="zh-CN"/>
        </w:rPr>
        <w:t>有组织排放执行《恶臭污染物排放标准》（GB14554-93）表2排放限值。垃圾贮坑、污泥贮存等产生的NH</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、H</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S、臭气浓度无</w:t>
      </w:r>
      <w:r>
        <w:rPr>
          <w:rFonts w:hint="eastAsia"/>
          <w:b w:val="0"/>
          <w:bCs w:val="0"/>
          <w:highlight w:val="none"/>
          <w:lang w:val="en-US" w:eastAsia="zh-CN"/>
        </w:rPr>
        <w:t>组织排放执行《恶臭污染物排放标准》（GB14554-93）表1的二级新扩改建标准。颗粒物无组织排放执行《大气污染物综合排放标准》（GB16297-1996）表2二级标准要求。</w:t>
      </w:r>
    </w:p>
    <w:p w14:paraId="4AD9B2FB">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lang w:val="en-US" w:eastAsia="zh-CN"/>
        </w:rPr>
      </w:pPr>
      <w:r>
        <w:rPr>
          <w:rFonts w:hint="eastAsia"/>
          <w:b w:val="0"/>
          <w:bCs w:val="0"/>
          <w:lang w:val="en-US" w:eastAsia="zh-CN"/>
        </w:rPr>
        <w:t>（三）噪声。</w:t>
      </w:r>
      <w:r>
        <w:rPr>
          <w:rFonts w:hint="eastAsia"/>
          <w:lang w:val="en-US" w:eastAsia="zh-CN"/>
        </w:rPr>
        <w:t>施工期场界噪声排放执行《建筑施工场界环境噪声排放标准》（GB12523-2011）排放限值，运营期厂界噪声排放执行《工业企业厂界环境噪声排放标准》（GB12348-2008）2类排放限值。</w:t>
      </w:r>
    </w:p>
    <w:p w14:paraId="7C5FFC7E">
      <w:pPr>
        <w:pStyle w:val="11"/>
        <w:keepNext w:val="0"/>
        <w:keepLines w:val="0"/>
        <w:pageBreakBefore w:val="0"/>
        <w:widowControl w:val="0"/>
        <w:kinsoku/>
        <w:wordWrap/>
        <w:overflowPunct/>
        <w:topLinePunct w:val="0"/>
        <w:autoSpaceDE/>
        <w:autoSpaceDN/>
        <w:bidi w:val="0"/>
        <w:adjustRightInd/>
        <w:snapToGrid/>
        <w:spacing w:before="0" w:after="0" w:line="560" w:lineRule="atLeast"/>
        <w:ind w:right="0" w:rightChars="0"/>
        <w:jc w:val="both"/>
        <w:textAlignment w:val="auto"/>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w:t>
      </w:r>
      <w:r>
        <w:rPr>
          <w:rFonts w:hint="eastAsia" w:ascii="仿宋_GB2312" w:hAnsi="仿宋_GB2312" w:cs="仿宋_GB2312"/>
          <w:b w:val="0"/>
          <w:bCs w:val="0"/>
          <w:lang w:val="en-US" w:eastAsia="zh-CN"/>
        </w:rPr>
        <w:t>四</w:t>
      </w:r>
      <w:r>
        <w:rPr>
          <w:rFonts w:hint="eastAsia" w:ascii="仿宋_GB2312" w:hAnsi="仿宋_GB2312" w:eastAsia="仿宋_GB2312" w:cs="仿宋_GB2312"/>
          <w:b w:val="0"/>
          <w:bCs w:val="0"/>
          <w:lang w:val="en-US" w:eastAsia="zh-CN"/>
        </w:rPr>
        <w:t>）</w:t>
      </w:r>
      <w:r>
        <w:rPr>
          <w:rFonts w:hint="eastAsia" w:ascii="仿宋_GB2312" w:hAnsi="仿宋_GB2312" w:cs="仿宋_GB2312"/>
          <w:b w:val="0"/>
          <w:bCs w:val="0"/>
          <w:lang w:val="en-US" w:eastAsia="zh-CN"/>
        </w:rPr>
        <w:t>固废</w:t>
      </w:r>
      <w:r>
        <w:rPr>
          <w:rFonts w:hint="eastAsia" w:ascii="仿宋_GB2312" w:hAnsi="仿宋_GB2312" w:eastAsia="仿宋_GB2312" w:cs="仿宋_GB2312"/>
          <w:b w:val="0"/>
          <w:bCs w:val="0"/>
          <w:lang w:val="en-US" w:eastAsia="zh-CN"/>
        </w:rPr>
        <w:t>。一般工业固体废物贮存执行《一般工业固体废物贮存和填埋污染控制标准》（GB18599-2020）要求；危险废物贮存执行《危险废物贮存污染控制标准》（GB18597-2023）要求，转移管理执行《危险废物转移管理办法》（部令第23号）相关规定。</w:t>
      </w:r>
    </w:p>
    <w:p w14:paraId="33252517">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b/>
          <w:bCs/>
          <w:lang w:val="en-US" w:eastAsia="zh-CN"/>
        </w:rPr>
      </w:pPr>
      <w:r>
        <w:rPr>
          <w:rFonts w:hint="eastAsia"/>
          <w:b w:val="0"/>
          <w:bCs w:val="0"/>
          <w:lang w:val="en-US" w:eastAsia="zh-CN"/>
        </w:rPr>
        <w:t>四、主要污染物允许排放总量</w:t>
      </w:r>
    </w:p>
    <w:p w14:paraId="64AEC892">
      <w:pPr>
        <w:spacing w:before="30" w:beforeLines="0" w:after="90" w:afterLines="0"/>
        <w:ind w:left="60"/>
        <w:jc w:val="left"/>
        <w:rPr>
          <w:rFonts w:hint="eastAsia" w:ascii="仿宋_GB2312" w:hAnsi="仿宋_GB2312" w:eastAsia="仿宋_GB2312"/>
          <w:color w:val="auto"/>
          <w:sz w:val="32"/>
          <w:szCs w:val="32"/>
          <w:highlight w:val="none"/>
          <w:lang w:val="en-US"/>
        </w:rPr>
      </w:pPr>
      <w:r>
        <w:rPr>
          <w:rFonts w:hint="eastAsia"/>
          <w:color w:val="auto"/>
          <w:highlight w:val="none"/>
          <w:lang w:eastAsia="zh-CN"/>
        </w:rPr>
        <w:t>本工程主要</w:t>
      </w:r>
      <w:r>
        <w:rPr>
          <w:rFonts w:hint="eastAsia"/>
          <w:color w:val="auto"/>
          <w:highlight w:val="none"/>
        </w:rPr>
        <w:t>污染物</w:t>
      </w:r>
      <w:r>
        <w:rPr>
          <w:rFonts w:hint="eastAsia"/>
          <w:color w:val="auto"/>
          <w:highlight w:val="none"/>
          <w:lang w:val="en-US" w:eastAsia="zh-CN"/>
        </w:rPr>
        <w:t>允许</w:t>
      </w:r>
      <w:r>
        <w:rPr>
          <w:rFonts w:hint="eastAsia"/>
          <w:color w:val="auto"/>
          <w:highlight w:val="none"/>
        </w:rPr>
        <w:t>排放量为</w:t>
      </w:r>
      <w:r>
        <w:rPr>
          <w:rFonts w:hint="eastAsia"/>
          <w:color w:val="auto"/>
          <w:highlight w:val="none"/>
          <w:lang w:eastAsia="zh-CN"/>
        </w:rPr>
        <w:t>：化学需氧量</w:t>
      </w:r>
      <w:r>
        <w:rPr>
          <w:rFonts w:hint="eastAsia" w:cs="Times New Roman"/>
          <w:color w:val="auto"/>
          <w:highlight w:val="none"/>
          <w:lang w:val="en-US" w:eastAsia="zh-CN"/>
        </w:rPr>
        <w:t>≤0.024吨/年，氮氧化物≤241.92吨/年，二氧化硫≤67.34吨/年</w:t>
      </w:r>
      <w:r>
        <w:rPr>
          <w:rFonts w:hint="eastAsia"/>
          <w:color w:val="auto"/>
          <w:highlight w:val="none"/>
          <w:lang w:eastAsia="zh-CN"/>
        </w:rPr>
        <w:t>。</w:t>
      </w:r>
      <w:r>
        <w:rPr>
          <w:rFonts w:hint="eastAsia" w:ascii="仿宋_GB2312" w:hAnsi="仿宋_GB2312" w:eastAsia="仿宋_GB2312"/>
          <w:color w:val="auto"/>
          <w:sz w:val="32"/>
          <w:szCs w:val="32"/>
          <w:highlight w:val="none"/>
          <w:lang w:val="en-US"/>
        </w:rPr>
        <w:t xml:space="preserve">项目投产前，应按照规定完成所需主要污染物排放总量指标的排污权交易。 </w:t>
      </w:r>
    </w:p>
    <w:p w14:paraId="38F42643">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eastAsia="仿宋_GB2312"/>
          <w:color w:val="auto"/>
          <w:highlight w:val="red"/>
          <w:lang w:eastAsia="zh-CN"/>
        </w:rPr>
      </w:pPr>
      <w:r>
        <w:rPr>
          <w:rFonts w:hint="eastAsia" w:cs="Times New Roman"/>
          <w:color w:val="auto"/>
          <w:highlight w:val="none"/>
          <w:lang w:val="en-US" w:eastAsia="zh-CN"/>
        </w:rPr>
        <w:t>项目投产后全厂</w:t>
      </w:r>
      <w:r>
        <w:rPr>
          <w:rFonts w:hint="eastAsia"/>
          <w:color w:val="auto"/>
          <w:highlight w:val="none"/>
          <w:lang w:eastAsia="zh-CN"/>
        </w:rPr>
        <w:t>主要</w:t>
      </w:r>
      <w:r>
        <w:rPr>
          <w:rFonts w:hint="eastAsia"/>
          <w:color w:val="auto"/>
          <w:highlight w:val="none"/>
        </w:rPr>
        <w:t>污染物</w:t>
      </w:r>
      <w:r>
        <w:rPr>
          <w:rFonts w:hint="eastAsia"/>
          <w:color w:val="auto"/>
          <w:highlight w:val="none"/>
          <w:lang w:val="en-US" w:eastAsia="zh-CN"/>
        </w:rPr>
        <w:t>允许</w:t>
      </w:r>
      <w:r>
        <w:rPr>
          <w:rFonts w:hint="eastAsia"/>
          <w:color w:val="auto"/>
          <w:highlight w:val="none"/>
        </w:rPr>
        <w:t>排放量</w:t>
      </w:r>
      <w:r>
        <w:rPr>
          <w:rFonts w:hint="eastAsia" w:cs="Times New Roman"/>
          <w:color w:val="auto"/>
          <w:highlight w:val="none"/>
          <w:lang w:val="en-US" w:eastAsia="zh-CN"/>
        </w:rPr>
        <w:t>为：</w:t>
      </w:r>
      <w:r>
        <w:rPr>
          <w:rFonts w:hint="eastAsia"/>
          <w:color w:val="auto"/>
          <w:highlight w:val="none"/>
          <w:lang w:eastAsia="zh-CN"/>
        </w:rPr>
        <w:t>化学需氧量</w:t>
      </w:r>
      <w:r>
        <w:rPr>
          <w:rFonts w:hint="eastAsia" w:cs="Times New Roman"/>
          <w:color w:val="auto"/>
          <w:highlight w:val="none"/>
          <w:lang w:val="en-US" w:eastAsia="zh-CN"/>
        </w:rPr>
        <w:t>≤0.024吨/年，氮氧化物≤241.92吨/年，二氧化硫≤67.34吨/年</w:t>
      </w:r>
      <w:bookmarkStart w:id="1" w:name="_GoBack"/>
      <w:bookmarkEnd w:id="1"/>
      <w:r>
        <w:rPr>
          <w:rFonts w:hint="eastAsia" w:cs="Times New Roman"/>
          <w:color w:val="auto"/>
          <w:highlight w:val="none"/>
          <w:lang w:val="en-US" w:eastAsia="zh-CN"/>
        </w:rPr>
        <w:t>。</w:t>
      </w:r>
    </w:p>
    <w:p w14:paraId="7154B190">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lang w:val="en-US" w:eastAsia="zh-CN"/>
        </w:rPr>
      </w:pPr>
      <w:r>
        <w:rPr>
          <w:rFonts w:hint="eastAsia"/>
          <w:lang w:val="en-US" w:eastAsia="zh-CN"/>
        </w:rPr>
        <w:t>五、《报告书》批准后，</w:t>
      </w:r>
      <w:r>
        <w:rPr>
          <w:rFonts w:hint="eastAsia"/>
          <w:lang w:eastAsia="zh-CN"/>
        </w:rPr>
        <w:t>如建设项目的性质、规模、地点、采用的生产工艺或者防治污染、防止生态破坏的措施发生重大变动的，应当依法重新报批项目环评。《报告</w:t>
      </w:r>
      <w:r>
        <w:rPr>
          <w:rFonts w:hint="eastAsia"/>
          <w:lang w:val="en-US" w:eastAsia="zh-CN"/>
        </w:rPr>
        <w:t>书</w:t>
      </w:r>
      <w:r>
        <w:rPr>
          <w:rFonts w:hint="eastAsia"/>
          <w:lang w:eastAsia="zh-CN"/>
        </w:rPr>
        <w:t>》自批准之日起满5年，方开工建设的，项目环评应当依法报我局重新审核。</w:t>
      </w:r>
    </w:p>
    <w:p w14:paraId="36291E2A">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lang w:val="en-US" w:eastAsia="zh-CN"/>
        </w:rPr>
      </w:pPr>
      <w:r>
        <w:rPr>
          <w:rFonts w:hint="eastAsia"/>
          <w:lang w:val="en-US" w:eastAsia="zh-CN"/>
        </w:rPr>
        <w:t>六、</w:t>
      </w:r>
      <w:r>
        <w:rPr>
          <w:rFonts w:hint="eastAsia"/>
          <w:lang w:eastAsia="zh-CN"/>
        </w:rPr>
        <w:t>项目应加强环境管理，推进落实各项生态环境保护措施。</w:t>
      </w:r>
      <w:r>
        <w:rPr>
          <w:rFonts w:hint="eastAsia"/>
        </w:rPr>
        <w:t>严格执行</w:t>
      </w:r>
      <w:r>
        <w:rPr>
          <w:rFonts w:hint="eastAsia"/>
          <w:lang w:eastAsia="zh-CN"/>
        </w:rPr>
        <w:t>环境保护</w:t>
      </w:r>
      <w:r>
        <w:rPr>
          <w:rFonts w:hint="eastAsia"/>
        </w:rPr>
        <w:t>“三同时”制度</w:t>
      </w:r>
      <w:r>
        <w:rPr>
          <w:rFonts w:hint="eastAsia"/>
          <w:lang w:eastAsia="zh-CN"/>
        </w:rPr>
        <w:t>，加强施工期环境管理</w:t>
      </w:r>
      <w:r>
        <w:rPr>
          <w:rFonts w:hint="eastAsia"/>
        </w:rPr>
        <w:t>。</w:t>
      </w:r>
      <w:r>
        <w:rPr>
          <w:rFonts w:hint="eastAsia"/>
          <w:lang w:eastAsia="zh-CN"/>
        </w:rPr>
        <w:t>在本项目排放污染物前，应依法重新申请取得排污许可证。</w:t>
      </w:r>
      <w:r>
        <w:rPr>
          <w:rFonts w:hint="eastAsia"/>
        </w:rPr>
        <w:t>竣工</w:t>
      </w:r>
      <w:r>
        <w:rPr>
          <w:rFonts w:hint="eastAsia"/>
          <w:lang w:eastAsia="zh-CN"/>
        </w:rPr>
        <w:t>后应按规定程序实施</w:t>
      </w:r>
      <w:r>
        <w:rPr>
          <w:rFonts w:hint="eastAsia"/>
        </w:rPr>
        <w:t>竣工环境保护验收。</w:t>
      </w:r>
    </w:p>
    <w:p w14:paraId="34363E19">
      <w:pPr>
        <w:keepNext w:val="0"/>
        <w:keepLines w:val="0"/>
        <w:pageBreakBefore w:val="0"/>
        <w:widowControl w:val="0"/>
        <w:kinsoku/>
        <w:overflowPunct/>
        <w:topLinePunct w:val="0"/>
        <w:autoSpaceDE/>
        <w:autoSpaceDN/>
        <w:bidi w:val="0"/>
        <w:adjustRightInd/>
        <w:snapToGrid/>
        <w:spacing w:line="560" w:lineRule="atLeast"/>
        <w:ind w:right="0" w:rightChars="0"/>
        <w:textAlignment w:val="auto"/>
        <w:rPr>
          <w:rFonts w:hint="eastAsia" w:ascii="仿宋_GB2312" w:eastAsia="仿宋_GB2312"/>
          <w:color w:val="000000" w:themeColor="text1"/>
          <w:sz w:val="32"/>
          <w:szCs w:val="32"/>
          <w14:textFill>
            <w14:solidFill>
              <w14:schemeClr w14:val="tx1"/>
            </w14:solidFill>
          </w14:textFill>
        </w:rPr>
      </w:pPr>
      <w:r>
        <w:rPr>
          <w:rFonts w:hint="eastAsia"/>
          <w:lang w:val="en-US" w:eastAsia="zh-CN"/>
        </w:rPr>
        <w:t>七、我局委托福州市生态环境保护综合执法支队开展该项目环保“三同时”监督检查，由福州市晋安生态环境局负责该项目日常环保监督管理工作。</w:t>
      </w:r>
    </w:p>
    <w:p w14:paraId="38A42028">
      <w:pPr>
        <w:keepNext w:val="0"/>
        <w:keepLines w:val="0"/>
        <w:pageBreakBefore w:val="0"/>
        <w:widowControl w:val="0"/>
        <w:kinsoku/>
        <w:wordWrap w:val="0"/>
        <w:overflowPunct/>
        <w:topLinePunct w:val="0"/>
        <w:autoSpaceDE/>
        <w:autoSpaceDN/>
        <w:bidi w:val="0"/>
        <w:adjustRightInd/>
        <w:snapToGrid/>
        <w:spacing w:line="560" w:lineRule="atLeast"/>
        <w:ind w:right="0" w:rightChars="0"/>
        <w:jc w:val="right"/>
        <w:textAlignment w:val="auto"/>
        <w:rPr>
          <w:rFonts w:hint="eastAsia"/>
          <w:highlight w:val="none"/>
          <w:lang w:val="en-US" w:eastAsia="zh-CN"/>
        </w:rPr>
      </w:pPr>
      <w:r>
        <w:rPr>
          <w:rFonts w:hint="eastAsia"/>
          <w:highlight w:val="none"/>
        </w:rPr>
        <w:t>福州市</w:t>
      </w:r>
      <w:r>
        <w:rPr>
          <w:rFonts w:hint="eastAsia"/>
          <w:highlight w:val="none"/>
          <w:lang w:eastAsia="zh-CN"/>
        </w:rPr>
        <w:t>生态环境局</w:t>
      </w:r>
      <w:r>
        <w:rPr>
          <w:rFonts w:hint="eastAsia"/>
          <w:highlight w:val="none"/>
          <w:lang w:val="en-US" w:eastAsia="zh-CN"/>
        </w:rPr>
        <w:t xml:space="preserve">        </w:t>
      </w:r>
    </w:p>
    <w:p w14:paraId="085E8767">
      <w:pPr>
        <w:keepNext w:val="0"/>
        <w:keepLines w:val="0"/>
        <w:pageBreakBefore w:val="0"/>
        <w:widowControl w:val="0"/>
        <w:kinsoku/>
        <w:wordWrap w:val="0"/>
        <w:overflowPunct/>
        <w:topLinePunct w:val="0"/>
        <w:autoSpaceDE/>
        <w:autoSpaceDN/>
        <w:bidi w:val="0"/>
        <w:adjustRightInd/>
        <w:snapToGrid/>
        <w:spacing w:line="560" w:lineRule="atLeast"/>
        <w:ind w:right="0" w:rightChars="0"/>
        <w:jc w:val="right"/>
        <w:textAlignment w:val="auto"/>
        <w:rPr>
          <w:rFonts w:hint="default" w:eastAsia="仿宋_GB2312"/>
          <w:highlight w:val="none"/>
          <w:lang w:val="en-US" w:eastAsia="zh-CN"/>
        </w:rPr>
      </w:pPr>
      <w:r>
        <w:rPr>
          <w:rFonts w:hint="eastAsia"/>
          <w:highlight w:val="none"/>
        </w:rPr>
        <w:t>20</w:t>
      </w:r>
      <w:r>
        <w:rPr>
          <w:rFonts w:hint="eastAsia"/>
          <w:highlight w:val="none"/>
          <w:lang w:val="en-US" w:eastAsia="zh-CN"/>
        </w:rPr>
        <w:t>25</w:t>
      </w:r>
      <w:r>
        <w:rPr>
          <w:rFonts w:hint="eastAsia"/>
          <w:highlight w:val="none"/>
        </w:rPr>
        <w:t>年</w:t>
      </w:r>
      <w:r>
        <w:rPr>
          <w:rFonts w:hint="eastAsia"/>
          <w:highlight w:val="none"/>
          <w:lang w:val="en-US" w:eastAsia="zh-CN"/>
        </w:rPr>
        <w:t>5</w:t>
      </w:r>
      <w:r>
        <w:rPr>
          <w:rFonts w:hint="eastAsia"/>
          <w:highlight w:val="none"/>
        </w:rPr>
        <w:t>月</w:t>
      </w:r>
      <w:r>
        <w:rPr>
          <w:rFonts w:hint="eastAsia"/>
          <w:highlight w:val="none"/>
          <w:lang w:val="en-US" w:eastAsia="zh-CN"/>
        </w:rPr>
        <w:t>16</w:t>
      </w:r>
      <w:r>
        <w:rPr>
          <w:rFonts w:hint="eastAsia"/>
          <w:highlight w:val="none"/>
        </w:rPr>
        <w:t>日</w:t>
      </w:r>
      <w:r>
        <w:rPr>
          <w:rFonts w:hint="eastAsia"/>
          <w:highlight w:val="none"/>
          <w:lang w:val="en-US" w:eastAsia="zh-CN"/>
        </w:rPr>
        <w:t xml:space="preserve">        </w:t>
      </w:r>
    </w:p>
    <w:tbl>
      <w:tblPr>
        <w:tblStyle w:val="13"/>
        <w:tblpPr w:horzAnchor="margin" w:tblpX="1" w:tblpYSpec="bottom"/>
        <w:tblOverlap w:val="never"/>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316"/>
        <w:gridCol w:w="3274"/>
        <w:gridCol w:w="4589"/>
      </w:tblGrid>
      <w:tr w14:paraId="23F38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37" w:hRule="atLeast"/>
        </w:trPr>
        <w:tc>
          <w:tcPr>
            <w:tcW w:w="717" w:type="pct"/>
            <w:tcBorders>
              <w:left w:val="nil"/>
              <w:right w:val="nil"/>
            </w:tcBorders>
            <w:noWrap w:val="0"/>
            <w:vAlign w:val="top"/>
          </w:tcPr>
          <w:p w14:paraId="58661F79">
            <w:pPr>
              <w:pStyle w:val="19"/>
              <w:keepNext w:val="0"/>
              <w:keepLines w:val="0"/>
              <w:pageBreakBefore w:val="0"/>
              <w:widowControl w:val="0"/>
              <w:kinsoku/>
              <w:overflowPunct/>
              <w:topLinePunct w:val="0"/>
              <w:autoSpaceDE/>
              <w:autoSpaceDN/>
              <w:bidi w:val="0"/>
              <w:adjustRightInd/>
              <w:snapToGrid/>
              <w:spacing w:line="560" w:lineRule="atLeast"/>
              <w:ind w:firstLine="320" w:firstLineChars="100"/>
              <w:jc w:val="left"/>
              <w:textAlignment w:val="auto"/>
              <w:rPr>
                <w:rFonts w:hint="eastAsia"/>
                <w:highlight w:val="none"/>
                <w:lang w:val="en-US" w:eastAsia="zh-CN"/>
              </w:rPr>
            </w:pPr>
            <w:r>
              <w:rPr>
                <w:rFonts w:hint="eastAsia"/>
                <w:highlight w:val="none"/>
              </w:rPr>
              <w:t>抄送：</w:t>
            </w:r>
          </w:p>
        </w:tc>
        <w:tc>
          <w:tcPr>
            <w:tcW w:w="4282" w:type="pct"/>
            <w:gridSpan w:val="2"/>
            <w:tcBorders>
              <w:left w:val="nil"/>
              <w:right w:val="nil"/>
            </w:tcBorders>
            <w:noWrap w:val="0"/>
            <w:vAlign w:val="top"/>
          </w:tcPr>
          <w:p w14:paraId="05A16374">
            <w:pPr>
              <w:pStyle w:val="19"/>
              <w:keepNext w:val="0"/>
              <w:keepLines w:val="0"/>
              <w:pageBreakBefore w:val="0"/>
              <w:widowControl w:val="0"/>
              <w:kinsoku/>
              <w:overflowPunct/>
              <w:topLinePunct w:val="0"/>
              <w:autoSpaceDE/>
              <w:autoSpaceDN/>
              <w:bidi w:val="0"/>
              <w:adjustRightInd/>
              <w:snapToGrid/>
              <w:spacing w:line="560" w:lineRule="atLeast"/>
              <w:textAlignment w:val="auto"/>
              <w:rPr>
                <w:rFonts w:hint="eastAsia"/>
                <w:highlight w:val="none"/>
                <w:lang w:val="en-US" w:eastAsia="zh-CN"/>
              </w:rPr>
            </w:pPr>
            <w:r>
              <w:rPr>
                <w:rFonts w:hint="eastAsia"/>
                <w:highlight w:val="none"/>
                <w:lang w:eastAsia="zh-CN"/>
              </w:rPr>
              <w:t>局土壤处、大气处，</w:t>
            </w:r>
            <w:r>
              <w:rPr>
                <w:rFonts w:hint="eastAsia"/>
                <w:highlight w:val="none"/>
              </w:rPr>
              <w:t>福州市生态环境保护综合执法支队，福州市环境影响评价技术中心，福州市</w:t>
            </w:r>
            <w:r>
              <w:rPr>
                <w:rFonts w:hint="eastAsia"/>
                <w:highlight w:val="none"/>
                <w:lang w:eastAsia="zh-CN"/>
              </w:rPr>
              <w:t>晋安</w:t>
            </w:r>
            <w:r>
              <w:rPr>
                <w:rFonts w:hint="eastAsia"/>
                <w:highlight w:val="none"/>
              </w:rPr>
              <w:t>生态环境局</w:t>
            </w:r>
            <w:r>
              <w:rPr>
                <w:rFonts w:hint="eastAsia"/>
                <w:highlight w:val="none"/>
                <w:lang w:eastAsia="zh-CN"/>
              </w:rPr>
              <w:t>，闽环（福建）环境科技有限公司。</w:t>
            </w:r>
          </w:p>
        </w:tc>
      </w:tr>
      <w:tr w14:paraId="731C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2500" w:type="pct"/>
            <w:gridSpan w:val="2"/>
            <w:tcBorders>
              <w:left w:val="nil"/>
              <w:right w:val="nil"/>
            </w:tcBorders>
            <w:noWrap w:val="0"/>
            <w:vAlign w:val="top"/>
          </w:tcPr>
          <w:p w14:paraId="79EC4DC6">
            <w:pPr>
              <w:pStyle w:val="19"/>
              <w:keepNext w:val="0"/>
              <w:keepLines w:val="0"/>
              <w:pageBreakBefore w:val="0"/>
              <w:widowControl w:val="0"/>
              <w:kinsoku/>
              <w:overflowPunct/>
              <w:topLinePunct w:val="0"/>
              <w:autoSpaceDE/>
              <w:autoSpaceDN/>
              <w:bidi w:val="0"/>
              <w:adjustRightInd/>
              <w:snapToGrid/>
              <w:spacing w:line="560" w:lineRule="atLeast"/>
              <w:ind w:firstLine="320" w:firstLineChars="100"/>
              <w:textAlignment w:val="auto"/>
              <w:rPr>
                <w:rFonts w:hint="eastAsia"/>
                <w:highlight w:val="none"/>
                <w:lang w:val="en-US" w:eastAsia="zh-CN"/>
              </w:rPr>
            </w:pPr>
            <w:r>
              <w:rPr>
                <w:rFonts w:hint="eastAsia"/>
                <w:highlight w:val="none"/>
              </w:rPr>
              <w:t>福州市</w:t>
            </w:r>
            <w:r>
              <w:rPr>
                <w:rFonts w:hint="eastAsia"/>
                <w:highlight w:val="none"/>
                <w:lang w:eastAsia="zh-CN"/>
              </w:rPr>
              <w:t>生态环境</w:t>
            </w:r>
            <w:r>
              <w:rPr>
                <w:rFonts w:hint="eastAsia"/>
                <w:highlight w:val="none"/>
              </w:rPr>
              <w:t>局</w:t>
            </w:r>
          </w:p>
        </w:tc>
        <w:tc>
          <w:tcPr>
            <w:tcW w:w="2499" w:type="pct"/>
            <w:tcBorders>
              <w:left w:val="nil"/>
              <w:right w:val="nil"/>
            </w:tcBorders>
            <w:noWrap w:val="0"/>
            <w:vAlign w:val="top"/>
          </w:tcPr>
          <w:p w14:paraId="3D2BF521">
            <w:pPr>
              <w:pStyle w:val="19"/>
              <w:keepNext w:val="0"/>
              <w:keepLines w:val="0"/>
              <w:pageBreakBefore w:val="0"/>
              <w:widowControl w:val="0"/>
              <w:kinsoku/>
              <w:overflowPunct/>
              <w:topLinePunct w:val="0"/>
              <w:autoSpaceDE/>
              <w:autoSpaceDN/>
              <w:bidi w:val="0"/>
              <w:adjustRightInd/>
              <w:snapToGrid/>
              <w:spacing w:line="560" w:lineRule="atLeast"/>
              <w:jc w:val="right"/>
              <w:textAlignment w:val="auto"/>
              <w:rPr>
                <w:rFonts w:hint="eastAsia" w:eastAsia="仿宋_GB2312"/>
                <w:highlight w:val="none"/>
                <w:lang w:val="en-US" w:eastAsia="zh-CN"/>
              </w:rPr>
            </w:pPr>
            <w:r>
              <w:rPr>
                <w:rFonts w:hint="eastAsia"/>
                <w:highlight w:val="none"/>
              </w:rPr>
              <w:t>202</w:t>
            </w:r>
            <w:r>
              <w:rPr>
                <w:rFonts w:hint="eastAsia"/>
                <w:highlight w:val="none"/>
                <w:lang w:val="en-US" w:eastAsia="zh-CN"/>
              </w:rPr>
              <w:t>5</w:t>
            </w:r>
            <w:r>
              <w:rPr>
                <w:rFonts w:hint="eastAsia"/>
                <w:highlight w:val="none"/>
              </w:rPr>
              <w:t>年</w:t>
            </w:r>
            <w:r>
              <w:rPr>
                <w:rFonts w:hint="eastAsia"/>
                <w:highlight w:val="none"/>
                <w:lang w:val="en-US" w:eastAsia="zh-CN"/>
              </w:rPr>
              <w:t>5</w:t>
            </w:r>
            <w:r>
              <w:rPr>
                <w:rFonts w:hint="eastAsia"/>
                <w:highlight w:val="none"/>
              </w:rPr>
              <w:t>月</w:t>
            </w:r>
            <w:r>
              <w:rPr>
                <w:rFonts w:hint="eastAsia"/>
                <w:highlight w:val="none"/>
                <w:lang w:val="en-US" w:eastAsia="zh-CN"/>
              </w:rPr>
              <w:t>16</w:t>
            </w:r>
            <w:r>
              <w:rPr>
                <w:rFonts w:hint="eastAsia"/>
                <w:highlight w:val="none"/>
              </w:rPr>
              <w:t>日印发</w:t>
            </w:r>
            <w:r>
              <w:rPr>
                <w:rFonts w:hint="eastAsia"/>
                <w:highlight w:val="none"/>
                <w:lang w:val="en-US" w:eastAsia="zh-CN"/>
              </w:rPr>
              <w:t xml:space="preserve">  </w:t>
            </w:r>
          </w:p>
        </w:tc>
      </w:tr>
    </w:tbl>
    <w:p w14:paraId="7CBD858C">
      <w:pPr>
        <w:keepNext w:val="0"/>
        <w:keepLines w:val="0"/>
        <w:pageBreakBefore w:val="0"/>
        <w:widowControl w:val="0"/>
        <w:kinsoku/>
        <w:wordWrap/>
        <w:overflowPunct/>
        <w:topLinePunct w:val="0"/>
        <w:autoSpaceDE/>
        <w:autoSpaceDN/>
        <w:bidi w:val="0"/>
        <w:adjustRightInd/>
        <w:snapToGrid w:val="0"/>
        <w:spacing w:line="520" w:lineRule="atLeast"/>
        <w:ind w:right="0" w:rightChars="0" w:firstLine="0" w:firstLineChars="0"/>
        <w:jc w:val="both"/>
        <w:textAlignment w:val="auto"/>
        <w:rPr>
          <w:rFonts w:hint="default"/>
          <w:color w:val="000000" w:themeColor="text1"/>
          <w:highlight w:val="none"/>
          <w:lang w:val="en-US" w:eastAsia="zh-CN"/>
          <w14:textFill>
            <w14:solidFill>
              <w14:schemeClr w14:val="tx1"/>
            </w14:solidFill>
          </w14:textFill>
        </w:rPr>
      </w:pPr>
    </w:p>
    <w:sectPr>
      <w:footerReference r:id="rId5" w:type="default"/>
      <w:footerReference r:id="rId6" w:type="even"/>
      <w:pgSz w:w="11906" w:h="16838"/>
      <w:pgMar w:top="1417" w:right="1417" w:bottom="1417" w:left="1417" w:header="851" w:footer="850"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A00002EF" w:usb1="4000207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D034F">
    <w:pPr>
      <w:tabs>
        <w:tab w:val="center" w:pos="4153"/>
        <w:tab w:val="right" w:pos="8306"/>
      </w:tabs>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3E9A00">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83E9A00">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76332">
    <w:pPr>
      <w:framePr w:wrap="around" w:vAnchor="text" w:hAnchor="margin" w:xAlign="center" w:y="1"/>
      <w:tabs>
        <w:tab w:val="center" w:pos="4153"/>
        <w:tab w:val="right" w:pos="8306"/>
      </w:tabs>
    </w:pPr>
    <w:r>
      <w:fldChar w:fldCharType="begin"/>
    </w:r>
    <w:r>
      <w:instrText xml:space="preserve">PAGE  </w:instrText>
    </w:r>
    <w:r>
      <w:fldChar w:fldCharType="end"/>
    </w:r>
  </w:p>
  <w:p w14:paraId="15914E8D">
    <w:pPr>
      <w:tabs>
        <w:tab w:val="center" w:pos="4153"/>
        <w:tab w:val="right"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132AC9"/>
    <w:multiLevelType w:val="multilevel"/>
    <w:tmpl w:val="41132AC9"/>
    <w:lvl w:ilvl="0" w:tentative="0">
      <w:start w:val="1"/>
      <w:numFmt w:val="decimal"/>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b/>
      </w:rPr>
    </w:lvl>
    <w:lvl w:ilvl="2" w:tentative="0">
      <w:start w:val="1"/>
      <w:numFmt w:val="decimal"/>
      <w:suff w:val="space"/>
      <w:lvlText w:val="%1.%2.%3"/>
      <w:lvlJc w:val="left"/>
      <w:pPr>
        <w:ind w:left="0" w:firstLine="0"/>
      </w:pPr>
      <w:rPr>
        <w:rFonts w:hint="eastAsia"/>
        <w:b/>
        <w:bCs w:val="0"/>
        <w:i w:val="0"/>
        <w:iCs w:val="0"/>
        <w:caps w:val="0"/>
        <w:smallCaps w:val="0"/>
        <w:strike w:val="0"/>
        <w:dstrike w:val="0"/>
        <w:color w:val="000000"/>
        <w:spacing w:val="0"/>
        <w:position w:val="0"/>
        <w:u w:val="none"/>
      </w:rPr>
    </w:lvl>
    <w:lvl w:ilvl="3" w:tentative="0">
      <w:start w:val="1"/>
      <w:numFmt w:val="decimal"/>
      <w:pStyle w:val="5"/>
      <w:suff w:val="space"/>
      <w:lvlText w:val="%1.%2.%3.%4"/>
      <w:lvlJc w:val="left"/>
      <w:pPr>
        <w:ind w:left="0" w:firstLine="0"/>
      </w:pPr>
      <w:rPr>
        <w:rFonts w:hint="eastAsia" w:ascii="Times New Roman" w:hAnsi="Times New Roman" w:cs="Times New Roman"/>
        <w:b/>
        <w:bCs w:val="0"/>
        <w:i w:val="0"/>
        <w:iCs w:val="0"/>
        <w:caps w:val="0"/>
        <w:smallCaps w:val="0"/>
        <w:strike w:val="0"/>
        <w:dstrike w:val="0"/>
        <w:color w:val="000000"/>
        <w:spacing w:val="0"/>
        <w:position w:val="0"/>
        <w:u w:val="none"/>
      </w:rPr>
    </w:lvl>
    <w:lvl w:ilvl="4" w:tentative="0">
      <w:start w:val="1"/>
      <w:numFmt w:val="decimal"/>
      <w:lvlText w:val="%1.%2.%3.%4.%5"/>
      <w:lvlJc w:val="left"/>
      <w:pPr>
        <w:tabs>
          <w:tab w:val="left" w:pos="720"/>
        </w:tabs>
        <w:ind w:left="720" w:firstLine="0"/>
      </w:pPr>
      <w:rPr>
        <w:rFonts w:hint="eastAsia" w:ascii="Times New Roman" w:hAnsi="Times New Roman" w:cs="Times New Roman"/>
        <w:b w:val="0"/>
        <w:bCs w:val="0"/>
        <w:i w:val="0"/>
        <w:iCs w:val="0"/>
        <w:caps w:val="0"/>
        <w:smallCaps w:val="0"/>
        <w:strike w:val="0"/>
        <w:dstrike w:val="0"/>
        <w:color w:val="000000"/>
        <w:spacing w:val="0"/>
        <w:position w:val="0"/>
        <w:u w:val="none"/>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NDM5NTI3YTI2MzU0NTA3MzliODM2N2FlYTc2NjYifQ=="/>
  </w:docVars>
  <w:rsids>
    <w:rsidRoot w:val="00172A27"/>
    <w:rsid w:val="00285502"/>
    <w:rsid w:val="002D2788"/>
    <w:rsid w:val="00733C95"/>
    <w:rsid w:val="00DC19CB"/>
    <w:rsid w:val="012415C2"/>
    <w:rsid w:val="01423F24"/>
    <w:rsid w:val="017B4BBD"/>
    <w:rsid w:val="01A7022B"/>
    <w:rsid w:val="01D1680C"/>
    <w:rsid w:val="01D55B47"/>
    <w:rsid w:val="01EE5E5A"/>
    <w:rsid w:val="01F6165D"/>
    <w:rsid w:val="02087A20"/>
    <w:rsid w:val="021C6C6C"/>
    <w:rsid w:val="02681D8C"/>
    <w:rsid w:val="02A91D81"/>
    <w:rsid w:val="02F373A7"/>
    <w:rsid w:val="03995481"/>
    <w:rsid w:val="03AD58A1"/>
    <w:rsid w:val="03CB7B24"/>
    <w:rsid w:val="043A5387"/>
    <w:rsid w:val="044C024B"/>
    <w:rsid w:val="044E3BDF"/>
    <w:rsid w:val="046E4052"/>
    <w:rsid w:val="04D706D5"/>
    <w:rsid w:val="04E87704"/>
    <w:rsid w:val="05360CF3"/>
    <w:rsid w:val="05614C7A"/>
    <w:rsid w:val="059B31F8"/>
    <w:rsid w:val="05A9624A"/>
    <w:rsid w:val="05EC03F0"/>
    <w:rsid w:val="06911288"/>
    <w:rsid w:val="06F42B68"/>
    <w:rsid w:val="07627F61"/>
    <w:rsid w:val="07857BC5"/>
    <w:rsid w:val="07872AC0"/>
    <w:rsid w:val="07921E93"/>
    <w:rsid w:val="07A01A45"/>
    <w:rsid w:val="07E643A6"/>
    <w:rsid w:val="08592B0D"/>
    <w:rsid w:val="08991F59"/>
    <w:rsid w:val="08D31906"/>
    <w:rsid w:val="08F70236"/>
    <w:rsid w:val="09017F7A"/>
    <w:rsid w:val="09290201"/>
    <w:rsid w:val="09682A4F"/>
    <w:rsid w:val="096F7A09"/>
    <w:rsid w:val="09AE6015"/>
    <w:rsid w:val="09CD427B"/>
    <w:rsid w:val="09F31D9F"/>
    <w:rsid w:val="0A374430"/>
    <w:rsid w:val="0A3C63D0"/>
    <w:rsid w:val="0A4F7B1C"/>
    <w:rsid w:val="0BD02354"/>
    <w:rsid w:val="0C312BFA"/>
    <w:rsid w:val="0C8073F8"/>
    <w:rsid w:val="0CA35B13"/>
    <w:rsid w:val="0D750F31"/>
    <w:rsid w:val="0E140D02"/>
    <w:rsid w:val="0E3A1F14"/>
    <w:rsid w:val="0E865C80"/>
    <w:rsid w:val="0EB47119"/>
    <w:rsid w:val="0EEC178F"/>
    <w:rsid w:val="0F0C76AB"/>
    <w:rsid w:val="0F7D61F5"/>
    <w:rsid w:val="0FC07E01"/>
    <w:rsid w:val="105F163E"/>
    <w:rsid w:val="10C15A17"/>
    <w:rsid w:val="11EE50AB"/>
    <w:rsid w:val="12100067"/>
    <w:rsid w:val="12321614"/>
    <w:rsid w:val="12F82368"/>
    <w:rsid w:val="132F0080"/>
    <w:rsid w:val="13433851"/>
    <w:rsid w:val="136E2957"/>
    <w:rsid w:val="139042E6"/>
    <w:rsid w:val="1393060F"/>
    <w:rsid w:val="13CF3A9D"/>
    <w:rsid w:val="14115C0D"/>
    <w:rsid w:val="141C6857"/>
    <w:rsid w:val="14647F10"/>
    <w:rsid w:val="149C2744"/>
    <w:rsid w:val="14A95C11"/>
    <w:rsid w:val="14C40C02"/>
    <w:rsid w:val="14E56EB1"/>
    <w:rsid w:val="14E833C5"/>
    <w:rsid w:val="14EF6AF2"/>
    <w:rsid w:val="15202377"/>
    <w:rsid w:val="15353F94"/>
    <w:rsid w:val="15864CBE"/>
    <w:rsid w:val="158B717A"/>
    <w:rsid w:val="15A30A8C"/>
    <w:rsid w:val="15AB0040"/>
    <w:rsid w:val="15F874A1"/>
    <w:rsid w:val="160B5ABA"/>
    <w:rsid w:val="16394E85"/>
    <w:rsid w:val="16590C32"/>
    <w:rsid w:val="16BF796D"/>
    <w:rsid w:val="16D60828"/>
    <w:rsid w:val="16E641C4"/>
    <w:rsid w:val="17203A97"/>
    <w:rsid w:val="17696FE0"/>
    <w:rsid w:val="177C2B6D"/>
    <w:rsid w:val="17B42592"/>
    <w:rsid w:val="17D05990"/>
    <w:rsid w:val="17DD0A63"/>
    <w:rsid w:val="17F77252"/>
    <w:rsid w:val="18125C7A"/>
    <w:rsid w:val="188A223C"/>
    <w:rsid w:val="1892516D"/>
    <w:rsid w:val="18D766FA"/>
    <w:rsid w:val="194045ED"/>
    <w:rsid w:val="19B17A41"/>
    <w:rsid w:val="19DD3EF8"/>
    <w:rsid w:val="19F73E81"/>
    <w:rsid w:val="1A8C2A62"/>
    <w:rsid w:val="1AF04599"/>
    <w:rsid w:val="1B0C5089"/>
    <w:rsid w:val="1B2F580A"/>
    <w:rsid w:val="1B3A4B23"/>
    <w:rsid w:val="1B676D5F"/>
    <w:rsid w:val="1B7B2A2A"/>
    <w:rsid w:val="1BAD4F54"/>
    <w:rsid w:val="1BB05AD7"/>
    <w:rsid w:val="1BE97638"/>
    <w:rsid w:val="1BF55770"/>
    <w:rsid w:val="1C3E3371"/>
    <w:rsid w:val="1C770AC4"/>
    <w:rsid w:val="1CA03525"/>
    <w:rsid w:val="1CAC3741"/>
    <w:rsid w:val="1D6762C4"/>
    <w:rsid w:val="1DB9579F"/>
    <w:rsid w:val="1DFB08D0"/>
    <w:rsid w:val="1E2A1857"/>
    <w:rsid w:val="1E6C5ADB"/>
    <w:rsid w:val="1EB55A71"/>
    <w:rsid w:val="1EC90F46"/>
    <w:rsid w:val="1EFA7794"/>
    <w:rsid w:val="1F165581"/>
    <w:rsid w:val="1F7040EE"/>
    <w:rsid w:val="1FC42DC7"/>
    <w:rsid w:val="1FFA3FF9"/>
    <w:rsid w:val="20027E8A"/>
    <w:rsid w:val="2060293B"/>
    <w:rsid w:val="20915ED7"/>
    <w:rsid w:val="209F7DAC"/>
    <w:rsid w:val="20D73A5A"/>
    <w:rsid w:val="21143B4C"/>
    <w:rsid w:val="21325C72"/>
    <w:rsid w:val="2137097C"/>
    <w:rsid w:val="21B749D0"/>
    <w:rsid w:val="21E81F4C"/>
    <w:rsid w:val="21FE726F"/>
    <w:rsid w:val="2214244A"/>
    <w:rsid w:val="22181FF2"/>
    <w:rsid w:val="2224602D"/>
    <w:rsid w:val="225A7C8A"/>
    <w:rsid w:val="226002D5"/>
    <w:rsid w:val="22BA2122"/>
    <w:rsid w:val="22D54F67"/>
    <w:rsid w:val="23925D1D"/>
    <w:rsid w:val="23D37805"/>
    <w:rsid w:val="247F4FF4"/>
    <w:rsid w:val="24D85EEB"/>
    <w:rsid w:val="255D78A2"/>
    <w:rsid w:val="25634F98"/>
    <w:rsid w:val="257974D5"/>
    <w:rsid w:val="25916AA4"/>
    <w:rsid w:val="25D65D28"/>
    <w:rsid w:val="260B587A"/>
    <w:rsid w:val="26117FA0"/>
    <w:rsid w:val="262275D1"/>
    <w:rsid w:val="263C1438"/>
    <w:rsid w:val="26E0338E"/>
    <w:rsid w:val="26EC2707"/>
    <w:rsid w:val="270D7D6E"/>
    <w:rsid w:val="271B2112"/>
    <w:rsid w:val="273D3CE1"/>
    <w:rsid w:val="273F2C22"/>
    <w:rsid w:val="273F5085"/>
    <w:rsid w:val="27777B13"/>
    <w:rsid w:val="27C7045C"/>
    <w:rsid w:val="27DC2B23"/>
    <w:rsid w:val="280C6F05"/>
    <w:rsid w:val="281B0309"/>
    <w:rsid w:val="283178CB"/>
    <w:rsid w:val="288F5D7B"/>
    <w:rsid w:val="289B7569"/>
    <w:rsid w:val="28AA153E"/>
    <w:rsid w:val="28FC341A"/>
    <w:rsid w:val="2A1C69F8"/>
    <w:rsid w:val="2A8B4E09"/>
    <w:rsid w:val="2A9D4879"/>
    <w:rsid w:val="2AA14CA8"/>
    <w:rsid w:val="2AC121DF"/>
    <w:rsid w:val="2AD14B31"/>
    <w:rsid w:val="2AD57C80"/>
    <w:rsid w:val="2AF10F5C"/>
    <w:rsid w:val="2B0C7BEA"/>
    <w:rsid w:val="2B65243A"/>
    <w:rsid w:val="2B7649BE"/>
    <w:rsid w:val="2B833315"/>
    <w:rsid w:val="2BAA6116"/>
    <w:rsid w:val="2BE95FAD"/>
    <w:rsid w:val="2C421C7B"/>
    <w:rsid w:val="2C5D61AC"/>
    <w:rsid w:val="2C855069"/>
    <w:rsid w:val="2CA43435"/>
    <w:rsid w:val="2CDF5A47"/>
    <w:rsid w:val="2D000B7F"/>
    <w:rsid w:val="2D280BC1"/>
    <w:rsid w:val="2D3E15A4"/>
    <w:rsid w:val="2D9A22EF"/>
    <w:rsid w:val="2DD0519A"/>
    <w:rsid w:val="2E20215E"/>
    <w:rsid w:val="2E4072AA"/>
    <w:rsid w:val="2E521804"/>
    <w:rsid w:val="2E5D640D"/>
    <w:rsid w:val="2E82340D"/>
    <w:rsid w:val="2E9D5498"/>
    <w:rsid w:val="2E9F3BE2"/>
    <w:rsid w:val="2F67058E"/>
    <w:rsid w:val="2F7C3F50"/>
    <w:rsid w:val="2F8F7792"/>
    <w:rsid w:val="30221FB4"/>
    <w:rsid w:val="304A7159"/>
    <w:rsid w:val="304B1338"/>
    <w:rsid w:val="30AB6B41"/>
    <w:rsid w:val="30F069FA"/>
    <w:rsid w:val="30F83409"/>
    <w:rsid w:val="30FB32F8"/>
    <w:rsid w:val="317B4B1E"/>
    <w:rsid w:val="32052280"/>
    <w:rsid w:val="32E4458C"/>
    <w:rsid w:val="32FB783E"/>
    <w:rsid w:val="33071ADC"/>
    <w:rsid w:val="33405C86"/>
    <w:rsid w:val="334E34FC"/>
    <w:rsid w:val="33520B64"/>
    <w:rsid w:val="335A1288"/>
    <w:rsid w:val="336660D1"/>
    <w:rsid w:val="3401422B"/>
    <w:rsid w:val="341A5D77"/>
    <w:rsid w:val="3455090A"/>
    <w:rsid w:val="346A2584"/>
    <w:rsid w:val="34BB7587"/>
    <w:rsid w:val="34BD1541"/>
    <w:rsid w:val="34C42AA8"/>
    <w:rsid w:val="34C70C8A"/>
    <w:rsid w:val="34D038C0"/>
    <w:rsid w:val="35051296"/>
    <w:rsid w:val="35226409"/>
    <w:rsid w:val="355510D6"/>
    <w:rsid w:val="35614F37"/>
    <w:rsid w:val="35916E07"/>
    <w:rsid w:val="359A757A"/>
    <w:rsid w:val="3631346C"/>
    <w:rsid w:val="366E2AEA"/>
    <w:rsid w:val="36767719"/>
    <w:rsid w:val="368F1EED"/>
    <w:rsid w:val="36C56525"/>
    <w:rsid w:val="36EB32A4"/>
    <w:rsid w:val="36F02A16"/>
    <w:rsid w:val="373240D5"/>
    <w:rsid w:val="374C17F7"/>
    <w:rsid w:val="377A54BF"/>
    <w:rsid w:val="37F237F8"/>
    <w:rsid w:val="37F877E0"/>
    <w:rsid w:val="3836588A"/>
    <w:rsid w:val="3860185A"/>
    <w:rsid w:val="389F6C5E"/>
    <w:rsid w:val="390B59DF"/>
    <w:rsid w:val="39364032"/>
    <w:rsid w:val="399251D2"/>
    <w:rsid w:val="39E843EE"/>
    <w:rsid w:val="39F14134"/>
    <w:rsid w:val="3A2A69FC"/>
    <w:rsid w:val="3A496523"/>
    <w:rsid w:val="3A7033B3"/>
    <w:rsid w:val="3A867BB1"/>
    <w:rsid w:val="3AA75770"/>
    <w:rsid w:val="3B5B73B5"/>
    <w:rsid w:val="3B950B19"/>
    <w:rsid w:val="3BBC1D7C"/>
    <w:rsid w:val="3C0C5739"/>
    <w:rsid w:val="3C371BD0"/>
    <w:rsid w:val="3C805325"/>
    <w:rsid w:val="3D9A2417"/>
    <w:rsid w:val="3DA26822"/>
    <w:rsid w:val="3DB86DD6"/>
    <w:rsid w:val="3DDC2BB6"/>
    <w:rsid w:val="3DE06A0F"/>
    <w:rsid w:val="3E771221"/>
    <w:rsid w:val="3EC87493"/>
    <w:rsid w:val="3ECA6D2C"/>
    <w:rsid w:val="3F363F8B"/>
    <w:rsid w:val="3F824E8C"/>
    <w:rsid w:val="3FBE3C9E"/>
    <w:rsid w:val="407A1888"/>
    <w:rsid w:val="40811207"/>
    <w:rsid w:val="4089777C"/>
    <w:rsid w:val="408A3C30"/>
    <w:rsid w:val="409F7D44"/>
    <w:rsid w:val="40C913D4"/>
    <w:rsid w:val="40CC5DE9"/>
    <w:rsid w:val="40F679C1"/>
    <w:rsid w:val="410E3E35"/>
    <w:rsid w:val="41534C28"/>
    <w:rsid w:val="41A650C0"/>
    <w:rsid w:val="41D10E53"/>
    <w:rsid w:val="41DD6A83"/>
    <w:rsid w:val="41E87F50"/>
    <w:rsid w:val="41E9719C"/>
    <w:rsid w:val="421676EB"/>
    <w:rsid w:val="42371BC0"/>
    <w:rsid w:val="42A11B51"/>
    <w:rsid w:val="42A94EAA"/>
    <w:rsid w:val="43100811"/>
    <w:rsid w:val="435E5746"/>
    <w:rsid w:val="437159C8"/>
    <w:rsid w:val="43AC79FF"/>
    <w:rsid w:val="43D60E26"/>
    <w:rsid w:val="444B22B5"/>
    <w:rsid w:val="44695E5B"/>
    <w:rsid w:val="447314CE"/>
    <w:rsid w:val="44865664"/>
    <w:rsid w:val="448E3562"/>
    <w:rsid w:val="44F945DA"/>
    <w:rsid w:val="45384445"/>
    <w:rsid w:val="453F5652"/>
    <w:rsid w:val="457C5409"/>
    <w:rsid w:val="458C75D8"/>
    <w:rsid w:val="45A9090B"/>
    <w:rsid w:val="460D2E36"/>
    <w:rsid w:val="463D0E74"/>
    <w:rsid w:val="46905A4C"/>
    <w:rsid w:val="46A97923"/>
    <w:rsid w:val="46C2744B"/>
    <w:rsid w:val="46C93599"/>
    <w:rsid w:val="46CD505E"/>
    <w:rsid w:val="48A155A1"/>
    <w:rsid w:val="48A26146"/>
    <w:rsid w:val="48E17742"/>
    <w:rsid w:val="49690EEF"/>
    <w:rsid w:val="49835FF6"/>
    <w:rsid w:val="49934965"/>
    <w:rsid w:val="499E03EC"/>
    <w:rsid w:val="49BC54C3"/>
    <w:rsid w:val="49CD0C90"/>
    <w:rsid w:val="4A0E3C60"/>
    <w:rsid w:val="4A17247D"/>
    <w:rsid w:val="4A7077B2"/>
    <w:rsid w:val="4A8E1FAD"/>
    <w:rsid w:val="4A987224"/>
    <w:rsid w:val="4C1027F5"/>
    <w:rsid w:val="4C140938"/>
    <w:rsid w:val="4C4869B3"/>
    <w:rsid w:val="4C670FC4"/>
    <w:rsid w:val="4C811A39"/>
    <w:rsid w:val="4D187B9C"/>
    <w:rsid w:val="4D4D782C"/>
    <w:rsid w:val="4D5F00C6"/>
    <w:rsid w:val="4DC94652"/>
    <w:rsid w:val="4DDE1B7F"/>
    <w:rsid w:val="4E0A0EF3"/>
    <w:rsid w:val="4E0B6B58"/>
    <w:rsid w:val="4E34569A"/>
    <w:rsid w:val="4E553227"/>
    <w:rsid w:val="4E663285"/>
    <w:rsid w:val="4EA41E49"/>
    <w:rsid w:val="4EDA6CE4"/>
    <w:rsid w:val="4EE65F3F"/>
    <w:rsid w:val="4F17434B"/>
    <w:rsid w:val="4F867E4E"/>
    <w:rsid w:val="504A7CCC"/>
    <w:rsid w:val="505A6944"/>
    <w:rsid w:val="50611DAF"/>
    <w:rsid w:val="50DD5D75"/>
    <w:rsid w:val="51E647F7"/>
    <w:rsid w:val="520533FB"/>
    <w:rsid w:val="52143AFD"/>
    <w:rsid w:val="522B3DE7"/>
    <w:rsid w:val="52555569"/>
    <w:rsid w:val="52F91162"/>
    <w:rsid w:val="52FC2DD4"/>
    <w:rsid w:val="53190FD9"/>
    <w:rsid w:val="53603F71"/>
    <w:rsid w:val="53765A26"/>
    <w:rsid w:val="53795DEA"/>
    <w:rsid w:val="53954603"/>
    <w:rsid w:val="5398647F"/>
    <w:rsid w:val="546F2AEB"/>
    <w:rsid w:val="54CE3C4A"/>
    <w:rsid w:val="55411B42"/>
    <w:rsid w:val="5579019D"/>
    <w:rsid w:val="559F7E89"/>
    <w:rsid w:val="55B81234"/>
    <w:rsid w:val="55BC3AD1"/>
    <w:rsid w:val="5611243C"/>
    <w:rsid w:val="56723939"/>
    <w:rsid w:val="56752603"/>
    <w:rsid w:val="56B03064"/>
    <w:rsid w:val="56BD1629"/>
    <w:rsid w:val="56FB049E"/>
    <w:rsid w:val="5773796F"/>
    <w:rsid w:val="579932E7"/>
    <w:rsid w:val="57B719BC"/>
    <w:rsid w:val="57C65626"/>
    <w:rsid w:val="57E478CE"/>
    <w:rsid w:val="588C0756"/>
    <w:rsid w:val="58B55C87"/>
    <w:rsid w:val="58E45F93"/>
    <w:rsid w:val="58E73667"/>
    <w:rsid w:val="590929B0"/>
    <w:rsid w:val="591A79B6"/>
    <w:rsid w:val="59404E79"/>
    <w:rsid w:val="595F65D1"/>
    <w:rsid w:val="59821989"/>
    <w:rsid w:val="59B70E38"/>
    <w:rsid w:val="59F754D4"/>
    <w:rsid w:val="5A2447F3"/>
    <w:rsid w:val="5A39015A"/>
    <w:rsid w:val="5A600D7D"/>
    <w:rsid w:val="5A663C6D"/>
    <w:rsid w:val="5AF116BD"/>
    <w:rsid w:val="5AFC50AF"/>
    <w:rsid w:val="5B4F712A"/>
    <w:rsid w:val="5BA81DEA"/>
    <w:rsid w:val="5BB416EF"/>
    <w:rsid w:val="5BBB04C9"/>
    <w:rsid w:val="5C02145B"/>
    <w:rsid w:val="5C0F33DD"/>
    <w:rsid w:val="5C1E2DC4"/>
    <w:rsid w:val="5C500C07"/>
    <w:rsid w:val="5C591D09"/>
    <w:rsid w:val="5CB762E9"/>
    <w:rsid w:val="5D014BFA"/>
    <w:rsid w:val="5D194829"/>
    <w:rsid w:val="5D6B68D5"/>
    <w:rsid w:val="5D8442C9"/>
    <w:rsid w:val="5DA66549"/>
    <w:rsid w:val="5DFD637E"/>
    <w:rsid w:val="5E917EAA"/>
    <w:rsid w:val="5ECA634C"/>
    <w:rsid w:val="5EF452EC"/>
    <w:rsid w:val="5F27080E"/>
    <w:rsid w:val="5F2D4723"/>
    <w:rsid w:val="5F313E05"/>
    <w:rsid w:val="5F3E17D5"/>
    <w:rsid w:val="5F71128A"/>
    <w:rsid w:val="5F9347C8"/>
    <w:rsid w:val="5FEA2220"/>
    <w:rsid w:val="6045671D"/>
    <w:rsid w:val="606D04A3"/>
    <w:rsid w:val="60AB3A08"/>
    <w:rsid w:val="60D3786A"/>
    <w:rsid w:val="61052DF9"/>
    <w:rsid w:val="6130229A"/>
    <w:rsid w:val="61363955"/>
    <w:rsid w:val="61572249"/>
    <w:rsid w:val="6256228E"/>
    <w:rsid w:val="62853361"/>
    <w:rsid w:val="62B831C1"/>
    <w:rsid w:val="62BA4BEA"/>
    <w:rsid w:val="62CF68EA"/>
    <w:rsid w:val="63715BA8"/>
    <w:rsid w:val="63800D2E"/>
    <w:rsid w:val="63C91E94"/>
    <w:rsid w:val="64370110"/>
    <w:rsid w:val="643E32B9"/>
    <w:rsid w:val="65627461"/>
    <w:rsid w:val="65C43C25"/>
    <w:rsid w:val="65CA32A0"/>
    <w:rsid w:val="65E77401"/>
    <w:rsid w:val="65FC33BF"/>
    <w:rsid w:val="66AA7F8F"/>
    <w:rsid w:val="66E612EE"/>
    <w:rsid w:val="66E63C24"/>
    <w:rsid w:val="671007B9"/>
    <w:rsid w:val="67391E88"/>
    <w:rsid w:val="675863D3"/>
    <w:rsid w:val="675D7CB8"/>
    <w:rsid w:val="67A41370"/>
    <w:rsid w:val="67A755AC"/>
    <w:rsid w:val="68272D07"/>
    <w:rsid w:val="68B07C80"/>
    <w:rsid w:val="68D565A8"/>
    <w:rsid w:val="69AE7235"/>
    <w:rsid w:val="69D54F09"/>
    <w:rsid w:val="69EB0C64"/>
    <w:rsid w:val="6A147573"/>
    <w:rsid w:val="6A3F33A9"/>
    <w:rsid w:val="6A795B01"/>
    <w:rsid w:val="6A7B2288"/>
    <w:rsid w:val="6AD965D0"/>
    <w:rsid w:val="6AE57CC7"/>
    <w:rsid w:val="6AFC6EF7"/>
    <w:rsid w:val="6B384575"/>
    <w:rsid w:val="6B570121"/>
    <w:rsid w:val="6B637032"/>
    <w:rsid w:val="6B7752F2"/>
    <w:rsid w:val="6BDB475D"/>
    <w:rsid w:val="6BFF1D07"/>
    <w:rsid w:val="6C2151AA"/>
    <w:rsid w:val="6CC23F43"/>
    <w:rsid w:val="6CC24944"/>
    <w:rsid w:val="6CE71FCB"/>
    <w:rsid w:val="6D013069"/>
    <w:rsid w:val="6D703160"/>
    <w:rsid w:val="6E7B26F0"/>
    <w:rsid w:val="6E907650"/>
    <w:rsid w:val="6EAA69C0"/>
    <w:rsid w:val="6EBB68D3"/>
    <w:rsid w:val="6EEA6F2E"/>
    <w:rsid w:val="6F3D0E01"/>
    <w:rsid w:val="6F5A6006"/>
    <w:rsid w:val="6F8C0561"/>
    <w:rsid w:val="6FA50623"/>
    <w:rsid w:val="6FBB353C"/>
    <w:rsid w:val="6FF40792"/>
    <w:rsid w:val="701570FF"/>
    <w:rsid w:val="705219E6"/>
    <w:rsid w:val="706359C1"/>
    <w:rsid w:val="707352C8"/>
    <w:rsid w:val="708F5FDD"/>
    <w:rsid w:val="70B54C51"/>
    <w:rsid w:val="70D22AF0"/>
    <w:rsid w:val="713F4F2F"/>
    <w:rsid w:val="719B0488"/>
    <w:rsid w:val="71B66B18"/>
    <w:rsid w:val="71C4090A"/>
    <w:rsid w:val="71D17800"/>
    <w:rsid w:val="72504B83"/>
    <w:rsid w:val="727916F5"/>
    <w:rsid w:val="73090EC9"/>
    <w:rsid w:val="7375030D"/>
    <w:rsid w:val="73C2117C"/>
    <w:rsid w:val="73E86ED0"/>
    <w:rsid w:val="74167DE3"/>
    <w:rsid w:val="7472484C"/>
    <w:rsid w:val="747B1E68"/>
    <w:rsid w:val="749F2E1A"/>
    <w:rsid w:val="750E0FD0"/>
    <w:rsid w:val="754216C1"/>
    <w:rsid w:val="75BD124E"/>
    <w:rsid w:val="75C7203D"/>
    <w:rsid w:val="764F693C"/>
    <w:rsid w:val="770A0CC3"/>
    <w:rsid w:val="771E77B9"/>
    <w:rsid w:val="77592B9B"/>
    <w:rsid w:val="777E5D17"/>
    <w:rsid w:val="77E41408"/>
    <w:rsid w:val="77F2439C"/>
    <w:rsid w:val="780954A3"/>
    <w:rsid w:val="782549A0"/>
    <w:rsid w:val="78700FBA"/>
    <w:rsid w:val="788405CB"/>
    <w:rsid w:val="78D6777B"/>
    <w:rsid w:val="7962424D"/>
    <w:rsid w:val="7A0643B5"/>
    <w:rsid w:val="7A2134D3"/>
    <w:rsid w:val="7AA92364"/>
    <w:rsid w:val="7B746C71"/>
    <w:rsid w:val="7B8117A9"/>
    <w:rsid w:val="7B8351D1"/>
    <w:rsid w:val="7BED7813"/>
    <w:rsid w:val="7C9000FA"/>
    <w:rsid w:val="7CAD6D69"/>
    <w:rsid w:val="7D5E0B05"/>
    <w:rsid w:val="7D9F624B"/>
    <w:rsid w:val="7D9F7B3D"/>
    <w:rsid w:val="7DB078EA"/>
    <w:rsid w:val="7E4342AC"/>
    <w:rsid w:val="7E536ABA"/>
    <w:rsid w:val="7E5E47BF"/>
    <w:rsid w:val="7E8537CD"/>
    <w:rsid w:val="7E93025D"/>
    <w:rsid w:val="7EAA0BE4"/>
    <w:rsid w:val="7EC73A39"/>
    <w:rsid w:val="7F0D131B"/>
    <w:rsid w:val="7F866B4F"/>
    <w:rsid w:val="7F9336FF"/>
    <w:rsid w:val="7F9C2A34"/>
    <w:rsid w:val="7FB20DB0"/>
    <w:rsid w:val="7FFC3D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640" w:firstLineChars="200"/>
      <w:jc w:val="both"/>
    </w:pPr>
    <w:rPr>
      <w:rFonts w:ascii="仿宋_GB2312" w:hAnsi="仿宋_GB2312" w:eastAsia="仿宋_GB2312" w:cs="仿宋_GB2312"/>
      <w:kern w:val="2"/>
      <w:sz w:val="32"/>
      <w:szCs w:val="32"/>
      <w:lang w:val="en-US" w:eastAsia="zh-CN" w:bidi="ar-SA"/>
    </w:rPr>
  </w:style>
  <w:style w:type="paragraph" w:styleId="2">
    <w:name w:val="heading 1"/>
    <w:basedOn w:val="1"/>
    <w:next w:val="1"/>
    <w:qFormat/>
    <w:uiPriority w:val="0"/>
    <w:pPr>
      <w:keepNext/>
      <w:keepLines/>
      <w:spacing w:beforeLines="0" w:beforeAutospacing="0" w:afterLines="0" w:afterAutospacing="0" w:line="600" w:lineRule="exact"/>
      <w:ind w:firstLine="0" w:firstLineChars="0"/>
      <w:jc w:val="center"/>
      <w:outlineLvl w:val="0"/>
    </w:pPr>
    <w:rPr>
      <w:rFonts w:ascii="方正小标宋简体" w:hAnsi="方正小标宋简体" w:eastAsia="方正小标宋简体" w:cs="方正小标宋简体"/>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0"/>
    <w:pPr>
      <w:keepNext/>
      <w:keepLines/>
      <w:numPr>
        <w:ilvl w:val="3"/>
        <w:numId w:val="1"/>
      </w:numPr>
      <w:spacing w:line="360" w:lineRule="auto"/>
      <w:jc w:val="left"/>
      <w:outlineLvl w:val="3"/>
    </w:pPr>
    <w:rPr>
      <w:b/>
      <w:bCs/>
      <w:sz w:val="24"/>
    </w:rPr>
  </w:style>
  <w:style w:type="character" w:default="1" w:styleId="14">
    <w:name w:val="Default Paragraph Font"/>
    <w:semiHidden/>
    <w:qFormat/>
    <w:uiPriority w:val="0"/>
    <w:rPr>
      <w:rFonts w:ascii="Tahoma" w:hAnsi="Tahoma"/>
      <w:sz w:val="28"/>
      <w:szCs w:val="20"/>
    </w:rPr>
  </w:style>
  <w:style w:type="table" w:default="1" w:styleId="12">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pPr>
    <w:rPr>
      <w:rFonts w:asciiTheme="minorHAnsi" w:hAnsiTheme="minorHAnsi" w:cstheme="minorBidi"/>
      <w:lang w:bidi="he-IL"/>
    </w:r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ind w:firstLine="0" w:firstLineChars="0"/>
      <w:jc w:val="left"/>
    </w:pPr>
    <w:rPr>
      <w:sz w:val="28"/>
      <w:szCs w:val="2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List"/>
    <w:basedOn w:val="1"/>
    <w:qFormat/>
    <w:uiPriority w:val="0"/>
    <w:pPr>
      <w:ind w:left="200" w:hanging="200" w:hangingChars="200"/>
    </w:pPr>
  </w:style>
  <w:style w:type="paragraph" w:styleId="11">
    <w:name w:val="Title"/>
    <w:basedOn w:val="1"/>
    <w:next w:val="1"/>
    <w:qFormat/>
    <w:uiPriority w:val="10"/>
    <w:pPr>
      <w:spacing w:before="240" w:after="60"/>
      <w:jc w:val="center"/>
      <w:outlineLvl w:val="0"/>
    </w:pPr>
    <w:rPr>
      <w:rFonts w:ascii="Calibri Light" w:hAnsi="Calibri Light" w:cs="Times New Roman"/>
      <w:b/>
      <w:bCs/>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Hyperlink"/>
    <w:basedOn w:val="14"/>
    <w:qFormat/>
    <w:uiPriority w:val="0"/>
    <w:rPr>
      <w:color w:val="0000FF"/>
      <w:u w:val="single"/>
    </w:rPr>
  </w:style>
  <w:style w:type="table" w:customStyle="1" w:styleId="16">
    <w:name w:val="正文+宋体4"/>
    <w:basedOn w:val="12"/>
    <w:qFormat/>
    <w:uiPriority w:val="99"/>
    <w:pPr>
      <w:widowControl w:val="0"/>
      <w:jc w:val="center"/>
    </w:pPr>
    <w:rPr>
      <w:szCs w:val="21"/>
    </w:rPr>
    <w:tblPr>
      <w:tblBorders>
        <w:top w:val="single" w:color="auto" w:sz="12" w:space="0"/>
        <w:bottom w:val="single" w:color="auto" w:sz="12" w:space="0"/>
        <w:insideH w:val="single" w:color="auto" w:sz="6" w:space="0"/>
        <w:insideV w:val="single" w:color="auto" w:sz="6" w:space="0"/>
      </w:tblBorders>
      <w:tblCellMar>
        <w:top w:w="0" w:type="dxa"/>
        <w:left w:w="108" w:type="dxa"/>
        <w:bottom w:w="0" w:type="dxa"/>
        <w:right w:w="108" w:type="dxa"/>
      </w:tblCellMar>
    </w:tblPr>
    <w:tcPr>
      <w:tcMar>
        <w:left w:w="28" w:type="dxa"/>
        <w:right w:w="28" w:type="dxa"/>
      </w:tcMar>
      <w:vAlign w:val="center"/>
    </w:tcPr>
  </w:style>
  <w:style w:type="paragraph" w:customStyle="1" w:styleId="17">
    <w:name w:val="环评批文文号"/>
    <w:basedOn w:val="1"/>
    <w:qFormat/>
    <w:uiPriority w:val="0"/>
    <w:pPr>
      <w:spacing w:before="1520" w:after="100" w:afterLines="100" w:line="600" w:lineRule="exact"/>
      <w:ind w:firstLine="0" w:firstLineChars="0"/>
      <w:jc w:val="right"/>
      <w:outlineLvl w:val="9"/>
    </w:pPr>
    <w:rPr>
      <w:rFonts w:hint="eastAsia"/>
      <w:color w:val="000000"/>
    </w:rPr>
  </w:style>
  <w:style w:type="paragraph" w:customStyle="1" w:styleId="18">
    <w:name w:val="主送机关"/>
    <w:basedOn w:val="1"/>
    <w:next w:val="1"/>
    <w:qFormat/>
    <w:uiPriority w:val="0"/>
    <w:pPr>
      <w:spacing w:line="600" w:lineRule="exact"/>
      <w:ind w:firstLine="0" w:firstLineChars="0"/>
      <w:outlineLvl w:val="9"/>
    </w:pPr>
    <w:rPr>
      <w:rFonts w:hint="eastAsia"/>
      <w:color w:val="000000"/>
    </w:rPr>
  </w:style>
  <w:style w:type="paragraph" w:customStyle="1" w:styleId="19">
    <w:name w:val="抄送单位"/>
    <w:basedOn w:val="1"/>
    <w:next w:val="1"/>
    <w:qFormat/>
    <w:uiPriority w:val="0"/>
    <w:pPr>
      <w:wordWrap w:val="0"/>
      <w:spacing w:line="600" w:lineRule="exact"/>
      <w:ind w:firstLine="0" w:firstLineChars="0"/>
      <w:jc w:val="left"/>
      <w:outlineLvl w:val="9"/>
    </w:pPr>
    <w:rPr>
      <w:rFonts w:hint="eastAsia"/>
      <w:color w:val="000000"/>
      <w:sz w:val="32"/>
      <w:szCs w:val="30"/>
    </w:rPr>
  </w:style>
  <w:style w:type="paragraph" w:customStyle="1" w:styleId="20">
    <w:name w:val="0cyx正文"/>
    <w:basedOn w:val="21"/>
    <w:qFormat/>
    <w:uiPriority w:val="0"/>
    <w:pPr>
      <w:keepNext w:val="0"/>
      <w:keepLines w:val="0"/>
      <w:ind w:firstLine="480" w:firstLineChars="200"/>
      <w:jc w:val="both"/>
      <w:outlineLvl w:val="9"/>
    </w:pPr>
    <w:rPr>
      <w:rFonts w:eastAsia="宋体"/>
      <w:b w:val="0"/>
      <w:sz w:val="24"/>
      <w:szCs w:val="24"/>
    </w:rPr>
  </w:style>
  <w:style w:type="paragraph" w:customStyle="1" w:styleId="21">
    <w:name w:val="0cyx第2标题"/>
    <w:basedOn w:val="3"/>
    <w:qFormat/>
    <w:uiPriority w:val="0"/>
    <w:pPr>
      <w:widowControl w:val="0"/>
      <w:adjustRightInd w:val="0"/>
      <w:snapToGrid w:val="0"/>
      <w:spacing w:before="0" w:after="0" w:line="360" w:lineRule="auto"/>
      <w:ind w:firstLine="0" w:firstLineChars="0"/>
      <w:jc w:val="left"/>
    </w:pPr>
    <w:rPr>
      <w:rFonts w:ascii="Times New Roman" w:hAnsi="Times New Roman" w:eastAsia="黑体"/>
    </w:rPr>
  </w:style>
  <w:style w:type="paragraph" w:customStyle="1" w:styleId="22">
    <w:name w:val="5文章正文"/>
    <w:basedOn w:val="1"/>
    <w:qFormat/>
    <w:uiPriority w:val="0"/>
    <w:pPr>
      <w:spacing w:line="360" w:lineRule="auto"/>
      <w:ind w:firstLine="200" w:firstLineChars="200"/>
    </w:pPr>
    <w:rPr>
      <w:rFonts w:cstheme="minorBidi"/>
      <w:sz w:val="24"/>
      <w:szCs w:val="24"/>
    </w:rPr>
  </w:style>
  <w:style w:type="character" w:customStyle="1" w:styleId="23">
    <w:name w:val="正文（） Char"/>
    <w:link w:val="24"/>
    <w:qFormat/>
    <w:uiPriority w:val="0"/>
    <w:rPr>
      <w:rFonts w:ascii="Times New Roman" w:hAnsi="Times New Roman" w:cs="Times New Roman"/>
      <w:color w:val="FF0000"/>
    </w:rPr>
  </w:style>
  <w:style w:type="paragraph" w:customStyle="1" w:styleId="24">
    <w:name w:val="正文（）"/>
    <w:basedOn w:val="1"/>
    <w:link w:val="23"/>
    <w:qFormat/>
    <w:uiPriority w:val="0"/>
    <w:pPr>
      <w:adjustRightInd w:val="0"/>
      <w:snapToGrid w:val="0"/>
      <w:spacing w:line="360" w:lineRule="auto"/>
      <w:ind w:firstLine="200" w:firstLineChars="200"/>
      <w:jc w:val="both"/>
    </w:pPr>
    <w:rPr>
      <w:rFonts w:ascii="Times New Roman" w:hAnsi="Times New Roman" w:cs="Times New Roman"/>
      <w:color w:val="FF0000"/>
    </w:rPr>
  </w:style>
  <w:style w:type="character" w:customStyle="1" w:styleId="25">
    <w:name w:val="表格内容（） Char"/>
    <w:link w:val="26"/>
    <w:qFormat/>
    <w:uiPriority w:val="0"/>
    <w:rPr>
      <w:rFonts w:ascii="Times New Roman" w:hAnsi="Times New Roman" w:cs="Times New Roman"/>
      <w:color w:val="FF0000"/>
      <w:sz w:val="21"/>
      <w:szCs w:val="21"/>
    </w:rPr>
  </w:style>
  <w:style w:type="paragraph" w:customStyle="1" w:styleId="26">
    <w:name w:val="表格内容（）"/>
    <w:basedOn w:val="1"/>
    <w:link w:val="25"/>
    <w:qFormat/>
    <w:uiPriority w:val="0"/>
    <w:pPr>
      <w:widowControl w:val="0"/>
      <w:adjustRightInd w:val="0"/>
      <w:snapToGrid w:val="0"/>
      <w:jc w:val="center"/>
    </w:pPr>
    <w:rPr>
      <w:rFonts w:ascii="Times New Roman" w:hAnsi="Times New Roman" w:cs="Times New Roman"/>
      <w:color w:val="FF0000"/>
      <w:sz w:val="21"/>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2945</Words>
  <Characters>3171</Characters>
  <Lines>0</Lines>
  <Paragraphs>0</Paragraphs>
  <TotalTime>0</TotalTime>
  <ScaleCrop>false</ScaleCrop>
  <LinksUpToDate>false</LinksUpToDate>
  <CharactersWithSpaces>3191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2018-08-21T07:06:00Z</dcterms:created>
  <dc:creator>Yuri</dc:creator>
  <cp:lastModifiedBy>ccw</cp:lastModifiedBy>
  <cp:lastPrinted>2024-07-01T07:50:00Z</cp:lastPrinted>
  <dcterms:modified xsi:type="dcterms:W3CDTF">2025-05-13T09:21:34Z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B4DA65A82D7144E9AA39BB6545BC730F_13</vt:lpwstr>
  </property>
  <property fmtid="{D5CDD505-2E9C-101B-9397-08002B2CF9AE}" pid="4" name="KSOTemplateDocerSaveRecord">
    <vt:lpwstr>eyJoZGlkIjoiMDkxNDM5NTI3YTI2MzU0NTA3MzliODM2N2FlYTc2NjYiLCJ1c2VySWQiOiIzMzQ3ODA2NTEifQ==</vt:lpwstr>
  </property>
</Properties>
</file>