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hint="eastAsia" w:ascii="仿宋_GB2312" w:hAnsi="仿宋_GB2312" w:eastAsia="仿宋_GB2312" w:cs="仿宋_GB2312"/>
          <w:b/>
          <w:color w:val="auto"/>
        </w:rPr>
      </w:pPr>
      <w:r>
        <w:rPr>
          <w:rFonts w:hint="eastAsia" w:ascii="仿宋_GB2312" w:hAnsi="仿宋_GB2312" w:eastAsia="仿宋_GB2312" w:cs="仿宋_GB2312"/>
          <w:b/>
          <w:color w:val="auto"/>
        </w:rPr>
        <w:t>附件1</w:t>
      </w:r>
    </w:p>
    <w:p>
      <w:pPr>
        <w:spacing w:line="600" w:lineRule="exact"/>
        <w:jc w:val="center"/>
        <w:rPr>
          <w:rFonts w:hint="eastAsia" w:ascii="方正大标宋简体" w:hAnsi="方正大标宋简体" w:eastAsia="方正大标宋简体" w:cs="方正大标宋简体"/>
          <w:bCs/>
          <w:color w:val="auto"/>
          <w:sz w:val="44"/>
          <w:szCs w:val="44"/>
        </w:rPr>
      </w:pPr>
      <w:r>
        <w:rPr>
          <w:rFonts w:hint="eastAsia" w:ascii="方正大标宋简体" w:hAnsi="方正大标宋简体" w:eastAsia="方正大标宋简体" w:cs="方正大标宋简体"/>
          <w:bCs/>
          <w:color w:val="auto"/>
          <w:sz w:val="44"/>
          <w:szCs w:val="44"/>
        </w:rPr>
        <w:t>保险方案</w:t>
      </w:r>
    </w:p>
    <w:tbl>
      <w:tblPr>
        <w:tblStyle w:val="2"/>
        <w:tblpPr w:leftFromText="180" w:rightFromText="180" w:vertAnchor="text" w:horzAnchor="page" w:tblpXSpec="center" w:tblpY="510"/>
        <w:tblOverlap w:val="never"/>
        <w:tblW w:w="495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52"/>
        <w:gridCol w:w="2523"/>
        <w:gridCol w:w="20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2278" w:type="pct"/>
            <w:noWrap w:val="0"/>
            <w:vAlign w:val="center"/>
          </w:tcPr>
          <w:p>
            <w:pPr>
              <w:spacing w:line="400" w:lineRule="exact"/>
              <w:jc w:val="center"/>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保险责任</w:t>
            </w:r>
          </w:p>
        </w:tc>
        <w:tc>
          <w:tcPr>
            <w:tcW w:w="1492" w:type="pct"/>
            <w:noWrap w:val="0"/>
            <w:vAlign w:val="center"/>
          </w:tcPr>
          <w:p>
            <w:pPr>
              <w:spacing w:line="400" w:lineRule="exact"/>
              <w:jc w:val="center"/>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保险金额(元/人·年)</w:t>
            </w:r>
          </w:p>
        </w:tc>
        <w:tc>
          <w:tcPr>
            <w:tcW w:w="1228" w:type="pct"/>
            <w:noWrap w:val="0"/>
            <w:vAlign w:val="center"/>
          </w:tcPr>
          <w:p>
            <w:pPr>
              <w:spacing w:line="400" w:lineRule="exact"/>
              <w:jc w:val="center"/>
              <w:rPr>
                <w:rFonts w:hint="eastAsia" w:ascii="仿宋_GB2312" w:hAnsi="仿宋_GB2312" w:eastAsia="仿宋_GB2312" w:cs="仿宋_GB2312"/>
                <w:bCs/>
                <w:color w:val="auto"/>
              </w:rPr>
            </w:pPr>
            <w:r>
              <w:rPr>
                <w:rFonts w:hint="eastAsia" w:ascii="仿宋_GB2312" w:hAnsi="仿宋_GB2312" w:eastAsia="仿宋_GB2312" w:cs="仿宋_GB2312"/>
                <w:bCs/>
                <w:color w:val="auto"/>
              </w:rPr>
              <w:t>保险费(元/人·年)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2278" w:type="pct"/>
            <w:noWrap w:val="0"/>
            <w:vAlign w:val="top"/>
          </w:tcPr>
          <w:p>
            <w:pPr>
              <w:spacing w:line="500" w:lineRule="exact"/>
              <w:jc w:val="left"/>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因公期间意外身故、残疾</w:t>
            </w:r>
          </w:p>
        </w:tc>
        <w:tc>
          <w:tcPr>
            <w:tcW w:w="1492" w:type="pct"/>
            <w:noWrap w:val="0"/>
            <w:vAlign w:val="top"/>
          </w:tcPr>
          <w:p>
            <w:pPr>
              <w:spacing w:line="500" w:lineRule="exact"/>
              <w:jc w:val="center"/>
              <w:rPr>
                <w:rFonts w:hint="eastAsia" w:ascii="仿宋_GB2312" w:hAnsi="仿宋_GB2312" w:eastAsia="仿宋_GB2312" w:cs="仿宋_GB2312"/>
                <w:bCs/>
                <w:color w:val="auto"/>
                <w:sz w:val="28"/>
                <w:szCs w:val="28"/>
                <w:lang w:val="en-US" w:eastAsia="zh-CN"/>
              </w:rPr>
            </w:pPr>
            <w:bookmarkStart w:id="0" w:name="OLE_LINK1"/>
            <w:r>
              <w:rPr>
                <w:rFonts w:hint="eastAsia" w:ascii="仿宋_GB2312" w:hAnsi="仿宋_GB2312" w:eastAsia="仿宋_GB2312" w:cs="仿宋_GB2312"/>
                <w:bCs/>
                <w:color w:val="auto"/>
                <w:sz w:val="28"/>
                <w:szCs w:val="28"/>
                <w:lang w:val="en-US" w:eastAsia="zh-CN"/>
              </w:rPr>
              <w:t>不低于</w:t>
            </w:r>
            <w:bookmarkEnd w:id="0"/>
            <w:r>
              <w:rPr>
                <w:rFonts w:hint="eastAsia" w:ascii="仿宋_GB2312" w:hAnsi="仿宋_GB2312" w:eastAsia="仿宋_GB2312" w:cs="仿宋_GB2312"/>
                <w:bCs/>
                <w:color w:val="auto"/>
                <w:sz w:val="28"/>
                <w:szCs w:val="28"/>
              </w:rPr>
              <w:t>1,000,000</w:t>
            </w:r>
          </w:p>
        </w:tc>
        <w:tc>
          <w:tcPr>
            <w:tcW w:w="1228" w:type="pct"/>
            <w:vMerge w:val="restart"/>
            <w:noWrap w:val="0"/>
            <w:vAlign w:val="center"/>
          </w:tcPr>
          <w:p>
            <w:pPr>
              <w:spacing w:line="600" w:lineRule="exact"/>
              <w:jc w:val="center"/>
              <w:rPr>
                <w:rFonts w:hint="default" w:ascii="仿宋_GB2312" w:hAnsi="仿宋_GB2312" w:eastAsia="仿宋_GB2312" w:cs="仿宋_GB2312"/>
                <w:bCs/>
                <w:color w:val="auto"/>
                <w:lang w:val="en-US" w:eastAsia="zh-CN"/>
              </w:rPr>
            </w:pPr>
            <w:r>
              <w:rPr>
                <w:rFonts w:hint="eastAsia" w:ascii="仿宋_GB2312" w:hAnsi="仿宋_GB2312" w:eastAsia="仿宋_GB2312" w:cs="仿宋_GB2312"/>
                <w:bCs/>
                <w:color w:val="auto"/>
                <w:sz w:val="28"/>
                <w:szCs w:val="28"/>
                <w:lang w:val="en-US" w:eastAsia="zh-CN"/>
              </w:rPr>
              <w:t>最高限价为458元人/人·年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2278" w:type="pct"/>
            <w:noWrap w:val="0"/>
            <w:vAlign w:val="top"/>
          </w:tcPr>
          <w:p>
            <w:pPr>
              <w:spacing w:line="500" w:lineRule="exact"/>
              <w:jc w:val="left"/>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非因公期间意外身故、残疾</w:t>
            </w:r>
          </w:p>
        </w:tc>
        <w:tc>
          <w:tcPr>
            <w:tcW w:w="1492" w:type="pct"/>
            <w:noWrap w:val="0"/>
            <w:vAlign w:val="top"/>
          </w:tcPr>
          <w:p>
            <w:pPr>
              <w:spacing w:line="500" w:lineRule="exact"/>
              <w:jc w:val="center"/>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lang w:val="en-US" w:eastAsia="zh-CN"/>
              </w:rPr>
              <w:t>不低于</w:t>
            </w:r>
            <w:r>
              <w:rPr>
                <w:rFonts w:hint="eastAsia" w:ascii="仿宋_GB2312" w:hAnsi="仿宋_GB2312" w:eastAsia="仿宋_GB2312" w:cs="仿宋_GB2312"/>
                <w:bCs/>
                <w:color w:val="auto"/>
                <w:sz w:val="28"/>
                <w:szCs w:val="28"/>
              </w:rPr>
              <w:t>200,000</w:t>
            </w:r>
          </w:p>
        </w:tc>
        <w:tc>
          <w:tcPr>
            <w:tcW w:w="1228" w:type="pct"/>
            <w:vMerge w:val="continue"/>
            <w:noWrap w:val="0"/>
            <w:vAlign w:val="top"/>
          </w:tcPr>
          <w:p>
            <w:pPr>
              <w:spacing w:line="600" w:lineRule="exact"/>
              <w:jc w:val="center"/>
              <w:rPr>
                <w:rFonts w:hint="eastAsia" w:ascii="仿宋_GB2312" w:hAnsi="仿宋_GB2312" w:eastAsia="仿宋_GB2312" w:cs="仿宋_GB2312"/>
                <w:bCs/>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2278" w:type="pct"/>
            <w:noWrap w:val="0"/>
            <w:vAlign w:val="top"/>
          </w:tcPr>
          <w:p>
            <w:pPr>
              <w:spacing w:line="500" w:lineRule="exact"/>
              <w:jc w:val="left"/>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因公期间急性病身故</w:t>
            </w:r>
          </w:p>
        </w:tc>
        <w:tc>
          <w:tcPr>
            <w:tcW w:w="1492" w:type="pct"/>
            <w:noWrap w:val="0"/>
            <w:vAlign w:val="top"/>
          </w:tcPr>
          <w:p>
            <w:pPr>
              <w:spacing w:line="500" w:lineRule="exact"/>
              <w:jc w:val="center"/>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lang w:val="en-US" w:eastAsia="zh-CN"/>
              </w:rPr>
              <w:t>不低于</w:t>
            </w:r>
            <w:r>
              <w:rPr>
                <w:rFonts w:hint="eastAsia" w:ascii="仿宋_GB2312" w:hAnsi="仿宋_GB2312" w:eastAsia="仿宋_GB2312" w:cs="仿宋_GB2312"/>
                <w:bCs/>
                <w:color w:val="auto"/>
                <w:sz w:val="28"/>
                <w:szCs w:val="28"/>
              </w:rPr>
              <w:t>500,000</w:t>
            </w:r>
          </w:p>
        </w:tc>
        <w:tc>
          <w:tcPr>
            <w:tcW w:w="1228" w:type="pct"/>
            <w:vMerge w:val="continue"/>
            <w:noWrap w:val="0"/>
            <w:vAlign w:val="top"/>
          </w:tcPr>
          <w:p>
            <w:pPr>
              <w:spacing w:line="600" w:lineRule="exact"/>
              <w:jc w:val="center"/>
              <w:rPr>
                <w:rFonts w:hint="eastAsia" w:ascii="仿宋_GB2312" w:hAnsi="仿宋_GB2312" w:eastAsia="仿宋_GB2312" w:cs="仿宋_GB2312"/>
                <w:bCs/>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2278" w:type="pct"/>
            <w:noWrap w:val="0"/>
            <w:vAlign w:val="top"/>
          </w:tcPr>
          <w:p>
            <w:pPr>
              <w:spacing w:line="500" w:lineRule="exact"/>
              <w:jc w:val="left"/>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非因公期间急性病身故</w:t>
            </w:r>
          </w:p>
        </w:tc>
        <w:tc>
          <w:tcPr>
            <w:tcW w:w="1492" w:type="pct"/>
            <w:noWrap w:val="0"/>
            <w:vAlign w:val="center"/>
          </w:tcPr>
          <w:p>
            <w:pPr>
              <w:spacing w:line="500" w:lineRule="exact"/>
              <w:jc w:val="center"/>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lang w:val="en-US" w:eastAsia="zh-CN"/>
              </w:rPr>
              <w:t>不低于</w:t>
            </w:r>
            <w:r>
              <w:rPr>
                <w:rFonts w:hint="eastAsia" w:ascii="仿宋_GB2312" w:hAnsi="仿宋_GB2312" w:eastAsia="仿宋_GB2312" w:cs="仿宋_GB2312"/>
                <w:bCs/>
                <w:color w:val="auto"/>
                <w:sz w:val="28"/>
                <w:szCs w:val="28"/>
              </w:rPr>
              <w:t>100,000</w:t>
            </w:r>
          </w:p>
        </w:tc>
        <w:tc>
          <w:tcPr>
            <w:tcW w:w="1228" w:type="pct"/>
            <w:vMerge w:val="continue"/>
            <w:noWrap w:val="0"/>
            <w:vAlign w:val="top"/>
          </w:tcPr>
          <w:p>
            <w:pPr>
              <w:spacing w:line="600" w:lineRule="exact"/>
              <w:jc w:val="center"/>
              <w:rPr>
                <w:rFonts w:hint="eastAsia" w:ascii="仿宋_GB2312" w:hAnsi="仿宋_GB2312" w:eastAsia="仿宋_GB2312" w:cs="仿宋_GB2312"/>
                <w:bCs/>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2278" w:type="pct"/>
            <w:noWrap w:val="0"/>
            <w:vAlign w:val="top"/>
          </w:tcPr>
          <w:p>
            <w:pPr>
              <w:spacing w:line="500" w:lineRule="exact"/>
              <w:jc w:val="left"/>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意外伤害医疗费用补偿（无免赔额，按100%赔付）</w:t>
            </w:r>
          </w:p>
        </w:tc>
        <w:tc>
          <w:tcPr>
            <w:tcW w:w="1492" w:type="pct"/>
            <w:noWrap w:val="0"/>
            <w:vAlign w:val="center"/>
          </w:tcPr>
          <w:p>
            <w:pPr>
              <w:spacing w:line="500" w:lineRule="exact"/>
              <w:jc w:val="center"/>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lang w:val="en-US" w:eastAsia="zh-CN"/>
              </w:rPr>
              <w:t>不低于</w:t>
            </w:r>
            <w:r>
              <w:rPr>
                <w:rFonts w:hint="eastAsia" w:ascii="仿宋_GB2312" w:hAnsi="仿宋_GB2312" w:eastAsia="仿宋_GB2312" w:cs="仿宋_GB2312"/>
                <w:bCs/>
                <w:color w:val="auto"/>
                <w:sz w:val="28"/>
                <w:szCs w:val="28"/>
              </w:rPr>
              <w:t>100000</w:t>
            </w:r>
          </w:p>
        </w:tc>
        <w:tc>
          <w:tcPr>
            <w:tcW w:w="1228" w:type="pct"/>
            <w:vMerge w:val="continue"/>
            <w:noWrap w:val="0"/>
            <w:vAlign w:val="top"/>
          </w:tcPr>
          <w:p>
            <w:pPr>
              <w:spacing w:line="600" w:lineRule="exact"/>
              <w:jc w:val="center"/>
              <w:rPr>
                <w:rFonts w:hint="eastAsia" w:ascii="仿宋_GB2312" w:hAnsi="仿宋_GB2312" w:eastAsia="仿宋_GB2312" w:cs="仿宋_GB2312"/>
                <w:bCs/>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2278" w:type="pct"/>
            <w:noWrap w:val="0"/>
            <w:vAlign w:val="top"/>
          </w:tcPr>
          <w:p>
            <w:pPr>
              <w:spacing w:line="500" w:lineRule="exact"/>
              <w:jc w:val="left"/>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意外伤害住院津贴（免赔0天，每次事故最高给付天数60天，年累计给付180天）</w:t>
            </w:r>
          </w:p>
        </w:tc>
        <w:tc>
          <w:tcPr>
            <w:tcW w:w="1492" w:type="pct"/>
            <w:noWrap w:val="0"/>
            <w:vAlign w:val="center"/>
          </w:tcPr>
          <w:p>
            <w:pPr>
              <w:spacing w:line="500" w:lineRule="exact"/>
              <w:jc w:val="center"/>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lang w:val="en-US" w:eastAsia="zh-CN"/>
              </w:rPr>
              <w:t>不低于</w:t>
            </w:r>
            <w:r>
              <w:rPr>
                <w:rFonts w:hint="eastAsia" w:ascii="仿宋_GB2312" w:hAnsi="仿宋_GB2312" w:eastAsia="仿宋_GB2312" w:cs="仿宋_GB2312"/>
                <w:bCs/>
                <w:color w:val="auto"/>
                <w:sz w:val="28"/>
                <w:szCs w:val="28"/>
              </w:rPr>
              <w:t>100元/天</w:t>
            </w:r>
          </w:p>
        </w:tc>
        <w:tc>
          <w:tcPr>
            <w:tcW w:w="1228" w:type="pct"/>
            <w:vMerge w:val="continue"/>
            <w:noWrap w:val="0"/>
            <w:vAlign w:val="top"/>
          </w:tcPr>
          <w:p>
            <w:pPr>
              <w:spacing w:line="600" w:lineRule="exact"/>
              <w:jc w:val="center"/>
              <w:rPr>
                <w:rFonts w:hint="eastAsia" w:ascii="仿宋_GB2312" w:hAnsi="仿宋_GB2312" w:eastAsia="仿宋_GB2312" w:cs="仿宋_GB2312"/>
                <w:bCs/>
                <w:color w:val="auto"/>
              </w:rPr>
            </w:pPr>
          </w:p>
        </w:tc>
      </w:tr>
    </w:tbl>
    <w:p>
      <w:pPr>
        <w:pStyle w:val="4"/>
        <w:spacing w:line="600" w:lineRule="exact"/>
        <w:rPr>
          <w:rFonts w:hint="eastAsia" w:ascii="仿宋_GB2312" w:hAnsi="仿宋_GB2312" w:eastAsia="仿宋_GB2312" w:cs="仿宋_GB2312"/>
          <w:bCs/>
          <w:color w:val="auto"/>
          <w:kern w:val="2"/>
          <w:szCs w:val="32"/>
        </w:rPr>
      </w:pPr>
      <w:r>
        <w:rPr>
          <w:rFonts w:hint="eastAsia" w:ascii="仿宋_GB2312" w:hAnsi="仿宋_GB2312" w:eastAsia="仿宋_GB2312" w:cs="仿宋_GB2312"/>
          <w:bCs/>
          <w:color w:val="auto"/>
          <w:kern w:val="2"/>
          <w:szCs w:val="32"/>
        </w:rPr>
        <w:t>注释：（1）在保险期间内，被保险人自获得被保资格之日起遭受意外伤害（含搭乘交通工具），并因该意外伤害导致身故、伤残的，保险人依照约定给付保险金，且给付各项保险金之和不超过该被保险人的意外伤害身故伤残保险金额。</w:t>
      </w:r>
    </w:p>
    <w:p>
      <w:pPr>
        <w:spacing w:line="600" w:lineRule="exact"/>
        <w:rPr>
          <w:rFonts w:hint="eastAsia" w:ascii="仿宋_GB2312" w:hAnsi="仿宋_GB2312" w:eastAsia="仿宋_GB2312" w:cs="仿宋_GB2312"/>
          <w:b/>
          <w:bCs/>
          <w:color w:val="auto"/>
        </w:rPr>
      </w:pPr>
      <w:r>
        <w:rPr>
          <w:rFonts w:hint="eastAsia" w:ascii="仿宋_GB2312" w:hAnsi="仿宋_GB2312" w:eastAsia="仿宋_GB2312" w:cs="仿宋_GB2312"/>
          <w:bCs/>
          <w:color w:val="auto"/>
        </w:rPr>
        <w:t>（2）意外残疾保险金额为保险限额，乙方</w:t>
      </w:r>
      <w:r>
        <w:rPr>
          <w:rFonts w:hint="eastAsia" w:ascii="仿宋_GB2312" w:hAnsi="仿宋_GB2312" w:eastAsia="仿宋_GB2312" w:cs="仿宋_GB2312"/>
          <w:b/>
          <w:bCs/>
          <w:color w:val="auto"/>
        </w:rPr>
        <w:t>按《人身保险伤残评定标准及代码》（保监发【2014】6号 国家金融行业标准编号 JR/T 0083-2013）所对应伤残等级的给付比例乘以该被保险人的本项保险责任的保险金额给付伤残保险金。</w:t>
      </w:r>
    </w:p>
    <w:tbl>
      <w:tblPr>
        <w:tblStyle w:val="2"/>
        <w:tblW w:w="0" w:type="auto"/>
        <w:tblInd w:w="91" w:type="dxa"/>
        <w:tblLayout w:type="autofit"/>
        <w:tblCellMar>
          <w:top w:w="0" w:type="dxa"/>
          <w:left w:w="108" w:type="dxa"/>
          <w:bottom w:w="0" w:type="dxa"/>
          <w:right w:w="108" w:type="dxa"/>
        </w:tblCellMar>
      </w:tblPr>
      <w:tblGrid>
        <w:gridCol w:w="1176"/>
        <w:gridCol w:w="698"/>
        <w:gridCol w:w="698"/>
        <w:gridCol w:w="698"/>
        <w:gridCol w:w="698"/>
        <w:gridCol w:w="698"/>
        <w:gridCol w:w="698"/>
        <w:gridCol w:w="698"/>
        <w:gridCol w:w="698"/>
        <w:gridCol w:w="698"/>
        <w:gridCol w:w="696"/>
      </w:tblGrid>
      <w:tr>
        <w:tblPrEx>
          <w:tblCellMar>
            <w:top w:w="0" w:type="dxa"/>
            <w:left w:w="108" w:type="dxa"/>
            <w:bottom w:w="0" w:type="dxa"/>
            <w:right w:w="108" w:type="dxa"/>
          </w:tblCellMar>
        </w:tblPrEx>
        <w:trPr>
          <w:trHeight w:val="539" w:hRule="atLeast"/>
        </w:trPr>
        <w:tc>
          <w:tcPr>
            <w:tcW w:w="0" w:type="auto"/>
            <w:gridSpan w:val="11"/>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auto"/>
                <w:sz w:val="24"/>
                <w:szCs w:val="24"/>
              </w:rPr>
            </w:pPr>
            <w:r>
              <w:rPr>
                <w:rFonts w:hint="eastAsia" w:ascii="宋体" w:hAnsi="宋体" w:cs="宋体"/>
                <w:color w:val="auto"/>
                <w:kern w:val="0"/>
                <w:sz w:val="24"/>
                <w:szCs w:val="24"/>
                <w:lang w:bidi="ar"/>
              </w:rPr>
              <w:t>《人身保险伤残评定标准及代码》赔偿标准</w:t>
            </w:r>
          </w:p>
        </w:tc>
      </w:tr>
      <w:tr>
        <w:tblPrEx>
          <w:tblCellMar>
            <w:top w:w="0" w:type="dxa"/>
            <w:left w:w="108" w:type="dxa"/>
            <w:bottom w:w="0" w:type="dxa"/>
            <w:right w:w="108" w:type="dxa"/>
          </w:tblCellMar>
        </w:tblPrEx>
        <w:trPr>
          <w:trHeight w:val="668"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auto"/>
                <w:sz w:val="24"/>
                <w:szCs w:val="24"/>
              </w:rPr>
            </w:pPr>
            <w:r>
              <w:rPr>
                <w:rFonts w:hint="eastAsia" w:ascii="宋体" w:hAnsi="宋体" w:cs="宋体"/>
                <w:color w:val="auto"/>
                <w:kern w:val="0"/>
                <w:sz w:val="24"/>
                <w:szCs w:val="24"/>
                <w:lang w:bidi="ar"/>
              </w:rPr>
              <w:t>伤残等级</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b/>
                <w:color w:val="auto"/>
                <w:sz w:val="24"/>
                <w:szCs w:val="24"/>
              </w:rPr>
            </w:pPr>
            <w:r>
              <w:rPr>
                <w:rFonts w:hint="eastAsia" w:ascii="宋体" w:hAnsi="宋体" w:cs="宋体"/>
                <w:b/>
                <w:color w:val="auto"/>
                <w:kern w:val="0"/>
                <w:sz w:val="24"/>
                <w:szCs w:val="24"/>
                <w:lang w:bidi="ar"/>
              </w:rPr>
              <w:t>十级</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b/>
                <w:color w:val="auto"/>
                <w:sz w:val="24"/>
                <w:szCs w:val="24"/>
              </w:rPr>
            </w:pPr>
            <w:r>
              <w:rPr>
                <w:rFonts w:hint="eastAsia" w:ascii="宋体" w:hAnsi="宋体" w:cs="宋体"/>
                <w:b/>
                <w:color w:val="auto"/>
                <w:kern w:val="0"/>
                <w:sz w:val="24"/>
                <w:szCs w:val="24"/>
                <w:lang w:bidi="ar"/>
              </w:rPr>
              <w:t>九级</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b/>
                <w:color w:val="auto"/>
                <w:sz w:val="24"/>
                <w:szCs w:val="24"/>
              </w:rPr>
            </w:pPr>
            <w:r>
              <w:rPr>
                <w:rFonts w:hint="eastAsia" w:ascii="宋体" w:hAnsi="宋体" w:cs="宋体"/>
                <w:b/>
                <w:color w:val="auto"/>
                <w:kern w:val="0"/>
                <w:sz w:val="24"/>
                <w:szCs w:val="24"/>
                <w:lang w:bidi="ar"/>
              </w:rPr>
              <w:t>八级</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b/>
                <w:color w:val="auto"/>
                <w:sz w:val="24"/>
                <w:szCs w:val="24"/>
              </w:rPr>
            </w:pPr>
            <w:r>
              <w:rPr>
                <w:rFonts w:hint="eastAsia" w:ascii="宋体" w:hAnsi="宋体" w:cs="宋体"/>
                <w:b/>
                <w:color w:val="auto"/>
                <w:kern w:val="0"/>
                <w:sz w:val="24"/>
                <w:szCs w:val="24"/>
                <w:lang w:bidi="ar"/>
              </w:rPr>
              <w:t>七级</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b/>
                <w:color w:val="auto"/>
                <w:sz w:val="24"/>
                <w:szCs w:val="24"/>
              </w:rPr>
            </w:pPr>
            <w:r>
              <w:rPr>
                <w:rFonts w:hint="eastAsia" w:ascii="宋体" w:hAnsi="宋体" w:cs="宋体"/>
                <w:b/>
                <w:color w:val="auto"/>
                <w:kern w:val="0"/>
                <w:sz w:val="24"/>
                <w:szCs w:val="24"/>
                <w:lang w:bidi="ar"/>
              </w:rPr>
              <w:t>六级</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b/>
                <w:color w:val="auto"/>
                <w:sz w:val="24"/>
                <w:szCs w:val="24"/>
              </w:rPr>
            </w:pPr>
            <w:r>
              <w:rPr>
                <w:rFonts w:hint="eastAsia" w:ascii="宋体" w:hAnsi="宋体" w:cs="宋体"/>
                <w:b/>
                <w:color w:val="auto"/>
                <w:kern w:val="0"/>
                <w:sz w:val="24"/>
                <w:szCs w:val="24"/>
                <w:lang w:bidi="ar"/>
              </w:rPr>
              <w:t>五级</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b/>
                <w:color w:val="auto"/>
                <w:sz w:val="24"/>
                <w:szCs w:val="24"/>
              </w:rPr>
            </w:pPr>
            <w:r>
              <w:rPr>
                <w:rFonts w:hint="eastAsia" w:ascii="宋体" w:hAnsi="宋体" w:cs="宋体"/>
                <w:b/>
                <w:color w:val="auto"/>
                <w:kern w:val="0"/>
                <w:sz w:val="24"/>
                <w:szCs w:val="24"/>
                <w:lang w:bidi="ar"/>
              </w:rPr>
              <w:t>四级</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b/>
                <w:color w:val="auto"/>
                <w:sz w:val="24"/>
                <w:szCs w:val="24"/>
              </w:rPr>
            </w:pPr>
            <w:r>
              <w:rPr>
                <w:rFonts w:hint="eastAsia" w:ascii="宋体" w:hAnsi="宋体" w:cs="宋体"/>
                <w:b/>
                <w:color w:val="auto"/>
                <w:kern w:val="0"/>
                <w:sz w:val="24"/>
                <w:szCs w:val="24"/>
                <w:lang w:bidi="ar"/>
              </w:rPr>
              <w:t>三级</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b/>
                <w:color w:val="auto"/>
                <w:sz w:val="24"/>
                <w:szCs w:val="24"/>
              </w:rPr>
            </w:pPr>
            <w:r>
              <w:rPr>
                <w:rFonts w:hint="eastAsia" w:ascii="宋体" w:hAnsi="宋体" w:cs="宋体"/>
                <w:b/>
                <w:color w:val="auto"/>
                <w:kern w:val="0"/>
                <w:sz w:val="24"/>
                <w:szCs w:val="24"/>
                <w:lang w:bidi="ar"/>
              </w:rPr>
              <w:t>二级</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auto"/>
                <w:sz w:val="24"/>
                <w:szCs w:val="24"/>
              </w:rPr>
            </w:pPr>
            <w:r>
              <w:rPr>
                <w:rFonts w:hint="eastAsia" w:ascii="宋体" w:hAnsi="宋体" w:cs="宋体"/>
                <w:color w:val="auto"/>
                <w:kern w:val="0"/>
                <w:sz w:val="24"/>
                <w:szCs w:val="24"/>
                <w:lang w:bidi="ar"/>
              </w:rPr>
              <w:t>一级</w:t>
            </w:r>
          </w:p>
        </w:tc>
      </w:tr>
      <w:tr>
        <w:tblPrEx>
          <w:tblCellMar>
            <w:top w:w="0" w:type="dxa"/>
            <w:left w:w="108" w:type="dxa"/>
            <w:bottom w:w="0" w:type="dxa"/>
            <w:right w:w="108" w:type="dxa"/>
          </w:tblCellMar>
        </w:tblPrEx>
        <w:trPr>
          <w:trHeight w:val="539"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auto"/>
                <w:sz w:val="24"/>
                <w:szCs w:val="24"/>
              </w:rPr>
            </w:pPr>
            <w:r>
              <w:rPr>
                <w:rFonts w:hint="eastAsia" w:ascii="宋体" w:hAnsi="宋体" w:cs="宋体"/>
                <w:color w:val="auto"/>
                <w:kern w:val="0"/>
                <w:sz w:val="24"/>
                <w:szCs w:val="24"/>
                <w:lang w:bidi="ar"/>
              </w:rPr>
              <w:t>赔付比例</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b/>
                <w:color w:val="auto"/>
                <w:sz w:val="24"/>
                <w:szCs w:val="24"/>
              </w:rPr>
            </w:pPr>
            <w:r>
              <w:rPr>
                <w:rFonts w:hint="eastAsia" w:ascii="宋体" w:hAnsi="宋体" w:cs="宋体"/>
                <w:b/>
                <w:color w:val="auto"/>
                <w:kern w:val="0"/>
                <w:sz w:val="24"/>
                <w:szCs w:val="24"/>
                <w:lang w:bidi="ar"/>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b/>
                <w:color w:val="auto"/>
                <w:sz w:val="24"/>
                <w:szCs w:val="24"/>
              </w:rPr>
            </w:pPr>
            <w:r>
              <w:rPr>
                <w:rFonts w:hint="eastAsia" w:ascii="宋体" w:hAnsi="宋体" w:cs="宋体"/>
                <w:b/>
                <w:color w:val="auto"/>
                <w:kern w:val="0"/>
                <w:sz w:val="24"/>
                <w:szCs w:val="24"/>
                <w:lang w:bidi="ar"/>
              </w:rPr>
              <w:t>20%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b/>
                <w:color w:val="auto"/>
                <w:sz w:val="24"/>
                <w:szCs w:val="24"/>
              </w:rPr>
            </w:pPr>
            <w:r>
              <w:rPr>
                <w:rFonts w:hint="eastAsia" w:ascii="宋体" w:hAnsi="宋体" w:cs="宋体"/>
                <w:b/>
                <w:color w:val="auto"/>
                <w:kern w:val="0"/>
                <w:sz w:val="24"/>
                <w:szCs w:val="24"/>
                <w:lang w:bidi="ar"/>
              </w:rPr>
              <w:t>30%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b/>
                <w:color w:val="auto"/>
                <w:sz w:val="24"/>
                <w:szCs w:val="24"/>
              </w:rPr>
            </w:pPr>
            <w:r>
              <w:rPr>
                <w:rFonts w:hint="eastAsia" w:ascii="宋体" w:hAnsi="宋体" w:cs="宋体"/>
                <w:b/>
                <w:color w:val="auto"/>
                <w:kern w:val="0"/>
                <w:sz w:val="24"/>
                <w:szCs w:val="24"/>
                <w:lang w:bidi="ar"/>
              </w:rPr>
              <w:t>40%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b/>
                <w:color w:val="auto"/>
                <w:sz w:val="24"/>
                <w:szCs w:val="24"/>
              </w:rPr>
            </w:pPr>
            <w:r>
              <w:rPr>
                <w:rFonts w:hint="eastAsia" w:ascii="宋体" w:hAnsi="宋体" w:cs="宋体"/>
                <w:b/>
                <w:color w:val="auto"/>
                <w:kern w:val="0"/>
                <w:sz w:val="24"/>
                <w:szCs w:val="24"/>
                <w:lang w:bidi="ar"/>
              </w:rPr>
              <w:t>50%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b/>
                <w:color w:val="auto"/>
                <w:sz w:val="24"/>
                <w:szCs w:val="24"/>
              </w:rPr>
            </w:pPr>
            <w:r>
              <w:rPr>
                <w:rFonts w:hint="eastAsia" w:ascii="宋体" w:hAnsi="宋体" w:cs="宋体"/>
                <w:b/>
                <w:color w:val="auto"/>
                <w:kern w:val="0"/>
                <w:sz w:val="24"/>
                <w:szCs w:val="24"/>
                <w:lang w:bidi="ar"/>
              </w:rPr>
              <w:t>60%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b/>
                <w:color w:val="auto"/>
                <w:sz w:val="24"/>
                <w:szCs w:val="24"/>
              </w:rPr>
            </w:pPr>
            <w:r>
              <w:rPr>
                <w:rFonts w:hint="eastAsia" w:ascii="宋体" w:hAnsi="宋体" w:cs="宋体"/>
                <w:b/>
                <w:color w:val="auto"/>
                <w:kern w:val="0"/>
                <w:sz w:val="24"/>
                <w:szCs w:val="24"/>
                <w:lang w:bidi="ar"/>
              </w:rPr>
              <w:t>70%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b/>
                <w:color w:val="auto"/>
                <w:sz w:val="24"/>
                <w:szCs w:val="24"/>
              </w:rPr>
            </w:pPr>
            <w:r>
              <w:rPr>
                <w:rFonts w:hint="eastAsia" w:ascii="宋体" w:hAnsi="宋体" w:cs="宋体"/>
                <w:b/>
                <w:color w:val="auto"/>
                <w:kern w:val="0"/>
                <w:sz w:val="24"/>
                <w:szCs w:val="24"/>
                <w:lang w:bidi="ar"/>
              </w:rPr>
              <w:t>80%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b/>
                <w:color w:val="auto"/>
                <w:sz w:val="24"/>
                <w:szCs w:val="24"/>
              </w:rPr>
            </w:pPr>
            <w:r>
              <w:rPr>
                <w:rFonts w:hint="eastAsia" w:ascii="宋体" w:hAnsi="宋体" w:cs="宋体"/>
                <w:b/>
                <w:color w:val="auto"/>
                <w:kern w:val="0"/>
                <w:sz w:val="24"/>
                <w:szCs w:val="24"/>
                <w:lang w:bidi="ar"/>
              </w:rPr>
              <w:t>90%</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cs="宋体"/>
                <w:color w:val="auto"/>
                <w:sz w:val="24"/>
                <w:szCs w:val="24"/>
              </w:rPr>
            </w:pPr>
            <w:r>
              <w:rPr>
                <w:rFonts w:hint="eastAsia" w:ascii="宋体" w:hAnsi="宋体" w:cs="宋体"/>
                <w:color w:val="auto"/>
                <w:kern w:val="0"/>
                <w:sz w:val="24"/>
                <w:szCs w:val="24"/>
                <w:lang w:bidi="ar"/>
              </w:rPr>
              <w:t>100%</w:t>
            </w:r>
          </w:p>
        </w:tc>
      </w:tr>
    </w:tbl>
    <w:p>
      <w:pPr>
        <w:rPr>
          <w:rFonts w:hint="default"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Cs/>
          <w:color w:val="auto"/>
        </w:rPr>
        <w:br w:type="page"/>
      </w:r>
      <w:r>
        <w:rPr>
          <w:rFonts w:hint="eastAsia" w:ascii="黑体" w:hAnsi="黑体" w:eastAsia="黑体" w:cs="黑体"/>
          <w:b w:val="0"/>
          <w:bCs/>
          <w:color w:val="auto"/>
          <w:sz w:val="32"/>
          <w:szCs w:val="32"/>
          <w:lang w:val="en-US" w:eastAsia="zh-CN"/>
        </w:rPr>
        <w:t>附件2</w:t>
      </w:r>
      <w:bookmarkStart w:id="1" w:name="_GoBack"/>
      <w:bookmarkEnd w:id="1"/>
    </w:p>
    <w:p>
      <w:pPr>
        <w:widowControl w:val="0"/>
        <w:adjustRightInd w:val="0"/>
        <w:snapToGrid w:val="0"/>
        <w:spacing w:line="600" w:lineRule="exact"/>
        <w:jc w:val="center"/>
        <w:textAlignment w:val="center"/>
        <w:rPr>
          <w:rFonts w:hint="eastAsia" w:ascii="仿宋_GB2312" w:hAnsi="仿宋_GB2312" w:eastAsia="仿宋_GB2312" w:cs="仿宋_GB2312"/>
          <w:color w:val="auto"/>
          <w:kern w:val="0"/>
          <w:sz w:val="44"/>
          <w:szCs w:val="44"/>
        </w:rPr>
      </w:pPr>
    </w:p>
    <w:p>
      <w:pPr>
        <w:widowControl w:val="0"/>
        <w:adjustRightInd w:val="0"/>
        <w:snapToGrid w:val="0"/>
        <w:spacing w:line="600" w:lineRule="exact"/>
        <w:jc w:val="center"/>
        <w:textAlignment w:val="center"/>
        <w:rPr>
          <w:rFonts w:hint="eastAsia" w:ascii="方正小标宋简体" w:hAnsi="方正小标宋简体" w:eastAsia="方正小标宋简体" w:cs="方正小标宋简体"/>
          <w:color w:val="auto"/>
          <w:kern w:val="0"/>
          <w:sz w:val="44"/>
          <w:szCs w:val="44"/>
        </w:rPr>
      </w:pPr>
      <w:r>
        <w:rPr>
          <w:rFonts w:hint="eastAsia" w:ascii="方正小标宋简体" w:hAnsi="方正小标宋简体" w:eastAsia="方正小标宋简体" w:cs="方正小标宋简体"/>
          <w:color w:val="auto"/>
          <w:kern w:val="0"/>
          <w:sz w:val="44"/>
          <w:szCs w:val="44"/>
          <w:lang w:val="en-US" w:eastAsia="zh-CN"/>
        </w:rPr>
        <w:t>福州市应急管理局</w:t>
      </w:r>
      <w:r>
        <w:rPr>
          <w:rFonts w:hint="eastAsia" w:ascii="方正小标宋简体" w:hAnsi="方正小标宋简体" w:eastAsia="方正小标宋简体" w:cs="方正小标宋简体"/>
          <w:color w:val="auto"/>
          <w:kern w:val="0"/>
          <w:sz w:val="44"/>
          <w:szCs w:val="44"/>
        </w:rPr>
        <w:t>XXX项目报价单</w:t>
      </w:r>
    </w:p>
    <w:p>
      <w:pPr>
        <w:adjustRightInd w:val="0"/>
        <w:snapToGrid w:val="0"/>
        <w:spacing w:line="600" w:lineRule="exact"/>
        <w:ind w:firstLine="0" w:firstLineChars="0"/>
        <w:jc w:val="center"/>
        <w:rPr>
          <w:rFonts w:hint="eastAsia" w:ascii="仿宋_GB2312" w:hAnsi="仿宋_GB2312" w:eastAsia="仿宋_GB2312" w:cs="仿宋_GB2312"/>
          <w:color w:val="auto"/>
          <w:kern w:val="0"/>
          <w:sz w:val="24"/>
          <w:szCs w:val="24"/>
          <w:u w:val="none"/>
        </w:rPr>
      </w:pPr>
      <w:r>
        <w:rPr>
          <w:rFonts w:hint="eastAsia" w:ascii="仿宋_GB2312" w:hAnsi="仿宋_GB2312" w:eastAsia="仿宋_GB2312" w:cs="仿宋_GB2312"/>
          <w:color w:val="auto"/>
          <w:kern w:val="0"/>
          <w:sz w:val="24"/>
          <w:szCs w:val="24"/>
          <w:u w:val="none"/>
        </w:rPr>
        <w:t>（范本）</w:t>
      </w:r>
    </w:p>
    <w:p>
      <w:pPr>
        <w:widowControl w:val="0"/>
        <w:adjustRightInd w:val="0"/>
        <w:snapToGrid w:val="0"/>
        <w:spacing w:line="600" w:lineRule="exact"/>
        <w:jc w:val="center"/>
        <w:textAlignment w:val="center"/>
        <w:rPr>
          <w:rFonts w:hint="eastAsia" w:ascii="仿宋_GB2312" w:hAnsi="仿宋_GB2312" w:eastAsia="仿宋_GB2312" w:cs="仿宋_GB2312"/>
          <w:color w:val="auto"/>
          <w:kern w:val="0"/>
          <w:sz w:val="24"/>
          <w:szCs w:val="24"/>
        </w:rPr>
      </w:pPr>
    </w:p>
    <w:p>
      <w:pPr>
        <w:adjustRightInd w:val="0"/>
        <w:snapToGrid w:val="0"/>
        <w:spacing w:line="600" w:lineRule="exact"/>
        <w:jc w:val="right"/>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20XX年  月  日</w:t>
      </w:r>
    </w:p>
    <w:p>
      <w:pPr>
        <w:adjustRightInd w:val="0"/>
        <w:snapToGrid w:val="0"/>
        <w:spacing w:line="600" w:lineRule="exact"/>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报价供应商：</w:t>
      </w:r>
      <w:r>
        <w:rPr>
          <w:rFonts w:hint="eastAsia" w:ascii="仿宋_GB2312" w:hAnsi="仿宋_GB2312" w:eastAsia="仿宋_GB2312" w:cs="仿宋_GB2312"/>
          <w:color w:val="auto"/>
          <w:kern w:val="0"/>
          <w:sz w:val="24"/>
          <w:szCs w:val="24"/>
          <w:u w:val="single"/>
        </w:rPr>
        <w:t xml:space="preserve">                         </w:t>
      </w:r>
      <w:r>
        <w:rPr>
          <w:rFonts w:hint="eastAsia" w:ascii="仿宋_GB2312" w:hAnsi="仿宋_GB2312" w:eastAsia="仿宋_GB2312" w:cs="仿宋_GB2312"/>
          <w:color w:val="auto"/>
          <w:kern w:val="0"/>
          <w:sz w:val="24"/>
          <w:szCs w:val="24"/>
        </w:rPr>
        <w:t>（盖章）</w:t>
      </w:r>
    </w:p>
    <w:p>
      <w:pPr>
        <w:adjustRightInd w:val="0"/>
        <w:snapToGrid w:val="0"/>
        <w:spacing w:line="600" w:lineRule="exact"/>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联系人：</w:t>
      </w:r>
      <w:r>
        <w:rPr>
          <w:rFonts w:hint="eastAsia" w:ascii="仿宋_GB2312" w:hAnsi="仿宋_GB2312" w:eastAsia="仿宋_GB2312" w:cs="仿宋_GB2312"/>
          <w:color w:val="auto"/>
          <w:kern w:val="0"/>
          <w:sz w:val="24"/>
          <w:szCs w:val="24"/>
          <w:u w:val="single"/>
        </w:rPr>
        <w:t xml:space="preserve">            </w:t>
      </w:r>
      <w:r>
        <w:rPr>
          <w:rFonts w:hint="eastAsia" w:ascii="仿宋_GB2312" w:hAnsi="仿宋_GB2312" w:eastAsia="仿宋_GB2312" w:cs="仿宋_GB2312"/>
          <w:color w:val="auto"/>
          <w:kern w:val="0"/>
          <w:sz w:val="24"/>
          <w:szCs w:val="24"/>
        </w:rPr>
        <w:t xml:space="preserve">          联系电话：</w:t>
      </w:r>
      <w:r>
        <w:rPr>
          <w:rFonts w:hint="eastAsia" w:ascii="仿宋_GB2312" w:hAnsi="仿宋_GB2312" w:eastAsia="仿宋_GB2312" w:cs="仿宋_GB2312"/>
          <w:color w:val="auto"/>
          <w:kern w:val="0"/>
          <w:sz w:val="24"/>
          <w:szCs w:val="24"/>
          <w:u w:val="single"/>
        </w:rPr>
        <w:t xml:space="preserve">            </w:t>
      </w:r>
    </w:p>
    <w:p>
      <w:pPr>
        <w:spacing w:line="600" w:lineRule="exact"/>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rPr>
        <w:t>一、报价表</w:t>
      </w:r>
    </w:p>
    <w:tbl>
      <w:tblPr>
        <w:tblStyle w:val="2"/>
        <w:tblW w:w="93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6"/>
        <w:gridCol w:w="1511"/>
        <w:gridCol w:w="1584"/>
        <w:gridCol w:w="1142"/>
        <w:gridCol w:w="681"/>
        <w:gridCol w:w="681"/>
        <w:gridCol w:w="889"/>
        <w:gridCol w:w="990"/>
        <w:gridCol w:w="13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4" w:hRule="atLeast"/>
          <w:jc w:val="center"/>
        </w:trPr>
        <w:tc>
          <w:tcPr>
            <w:tcW w:w="526" w:type="dxa"/>
            <w:noWrap w:val="0"/>
            <w:vAlign w:val="center"/>
          </w:tcPr>
          <w:p>
            <w:pPr>
              <w:snapToGrid w:val="0"/>
              <w:spacing w:line="600" w:lineRule="exact"/>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rPr>
              <w:t>序</w:t>
            </w:r>
          </w:p>
          <w:p>
            <w:pPr>
              <w:snapToGrid w:val="0"/>
              <w:spacing w:line="600" w:lineRule="exact"/>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rPr>
              <w:t>号</w:t>
            </w:r>
          </w:p>
        </w:tc>
        <w:tc>
          <w:tcPr>
            <w:tcW w:w="1511" w:type="dxa"/>
            <w:noWrap w:val="0"/>
            <w:vAlign w:val="center"/>
          </w:tcPr>
          <w:p>
            <w:pPr>
              <w:snapToGrid w:val="0"/>
              <w:spacing w:line="600" w:lineRule="exact"/>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rPr>
              <w:t>货物</w:t>
            </w:r>
          </w:p>
          <w:p>
            <w:pPr>
              <w:snapToGrid w:val="0"/>
              <w:spacing w:line="600" w:lineRule="exact"/>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rPr>
              <w:t>名称</w:t>
            </w:r>
          </w:p>
        </w:tc>
        <w:tc>
          <w:tcPr>
            <w:tcW w:w="1584" w:type="dxa"/>
            <w:noWrap w:val="0"/>
            <w:vAlign w:val="center"/>
          </w:tcPr>
          <w:p>
            <w:pPr>
              <w:snapToGrid w:val="0"/>
              <w:spacing w:line="600" w:lineRule="exact"/>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rPr>
              <w:t>品牌型号</w:t>
            </w:r>
          </w:p>
        </w:tc>
        <w:tc>
          <w:tcPr>
            <w:tcW w:w="1142" w:type="dxa"/>
            <w:noWrap w:val="0"/>
            <w:vAlign w:val="center"/>
          </w:tcPr>
          <w:p>
            <w:pPr>
              <w:snapToGrid w:val="0"/>
              <w:spacing w:line="600" w:lineRule="exact"/>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rPr>
              <w:t>规格技术指标</w:t>
            </w:r>
          </w:p>
        </w:tc>
        <w:tc>
          <w:tcPr>
            <w:tcW w:w="681" w:type="dxa"/>
            <w:noWrap w:val="0"/>
            <w:vAlign w:val="center"/>
          </w:tcPr>
          <w:p>
            <w:pPr>
              <w:snapToGrid w:val="0"/>
              <w:spacing w:line="600" w:lineRule="exact"/>
              <w:ind w:left="-122" w:leftChars="-38" w:right="-205" w:rightChars="-64"/>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rPr>
              <w:t>数量</w:t>
            </w:r>
          </w:p>
        </w:tc>
        <w:tc>
          <w:tcPr>
            <w:tcW w:w="681" w:type="dxa"/>
            <w:noWrap w:val="0"/>
            <w:vAlign w:val="center"/>
          </w:tcPr>
          <w:p>
            <w:pPr>
              <w:snapToGrid w:val="0"/>
              <w:spacing w:line="600" w:lineRule="exact"/>
              <w:ind w:right="-163" w:rightChars="-51"/>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rPr>
              <w:t>单位</w:t>
            </w:r>
          </w:p>
        </w:tc>
        <w:tc>
          <w:tcPr>
            <w:tcW w:w="889" w:type="dxa"/>
            <w:noWrap w:val="0"/>
            <w:vAlign w:val="top"/>
          </w:tcPr>
          <w:p>
            <w:pPr>
              <w:snapToGrid w:val="0"/>
              <w:spacing w:line="600" w:lineRule="exact"/>
              <w:ind w:left="-24" w:leftChars="-15" w:hanging="24" w:hangingChars="10"/>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rPr>
              <w:t>单价</w:t>
            </w:r>
          </w:p>
          <w:p>
            <w:pPr>
              <w:snapToGrid w:val="0"/>
              <w:spacing w:line="600" w:lineRule="exact"/>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rPr>
              <w:t>（元）</w:t>
            </w:r>
          </w:p>
        </w:tc>
        <w:tc>
          <w:tcPr>
            <w:tcW w:w="990" w:type="dxa"/>
            <w:noWrap w:val="0"/>
            <w:vAlign w:val="center"/>
          </w:tcPr>
          <w:p>
            <w:pPr>
              <w:snapToGrid w:val="0"/>
              <w:spacing w:line="600" w:lineRule="exact"/>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rPr>
              <w:t>小计</w:t>
            </w:r>
          </w:p>
          <w:p>
            <w:pPr>
              <w:snapToGrid w:val="0"/>
              <w:spacing w:line="600" w:lineRule="exact"/>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rPr>
              <w:t>（元）</w:t>
            </w:r>
          </w:p>
        </w:tc>
        <w:tc>
          <w:tcPr>
            <w:tcW w:w="1310" w:type="dxa"/>
            <w:noWrap w:val="0"/>
            <w:vAlign w:val="center"/>
          </w:tcPr>
          <w:p>
            <w:pPr>
              <w:snapToGrid w:val="0"/>
              <w:spacing w:line="600" w:lineRule="exact"/>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rPr>
              <w:t>最高限价</w:t>
            </w:r>
          </w:p>
          <w:p>
            <w:pPr>
              <w:snapToGrid w:val="0"/>
              <w:spacing w:line="600" w:lineRule="exact"/>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526" w:type="dxa"/>
            <w:noWrap w:val="0"/>
            <w:vAlign w:val="center"/>
          </w:tcPr>
          <w:p>
            <w:pPr>
              <w:spacing w:line="600" w:lineRule="exact"/>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w:t>
            </w:r>
          </w:p>
        </w:tc>
        <w:tc>
          <w:tcPr>
            <w:tcW w:w="1511" w:type="dxa"/>
            <w:noWrap w:val="0"/>
            <w:vAlign w:val="center"/>
          </w:tcPr>
          <w:p>
            <w:pPr>
              <w:spacing w:line="600" w:lineRule="exact"/>
              <w:jc w:val="center"/>
              <w:rPr>
                <w:rFonts w:hint="eastAsia" w:ascii="仿宋_GB2312" w:hAnsi="仿宋_GB2312" w:eastAsia="仿宋_GB2312" w:cs="仿宋_GB2312"/>
                <w:color w:val="auto"/>
                <w:sz w:val="24"/>
                <w:szCs w:val="24"/>
              </w:rPr>
            </w:pPr>
          </w:p>
        </w:tc>
        <w:tc>
          <w:tcPr>
            <w:tcW w:w="1584" w:type="dxa"/>
            <w:noWrap w:val="0"/>
            <w:vAlign w:val="center"/>
          </w:tcPr>
          <w:p>
            <w:pPr>
              <w:spacing w:line="600" w:lineRule="exact"/>
              <w:rPr>
                <w:rFonts w:hint="eastAsia" w:ascii="仿宋_GB2312" w:hAnsi="仿宋_GB2312" w:eastAsia="仿宋_GB2312" w:cs="仿宋_GB2312"/>
                <w:color w:val="auto"/>
                <w:sz w:val="24"/>
                <w:szCs w:val="24"/>
              </w:rPr>
            </w:pPr>
          </w:p>
        </w:tc>
        <w:tc>
          <w:tcPr>
            <w:tcW w:w="1142" w:type="dxa"/>
            <w:noWrap w:val="0"/>
            <w:vAlign w:val="center"/>
          </w:tcPr>
          <w:p>
            <w:pPr>
              <w:spacing w:line="600" w:lineRule="exact"/>
              <w:rPr>
                <w:rFonts w:hint="eastAsia" w:ascii="仿宋_GB2312" w:hAnsi="仿宋_GB2312" w:eastAsia="仿宋_GB2312" w:cs="仿宋_GB2312"/>
                <w:color w:val="auto"/>
                <w:sz w:val="24"/>
                <w:szCs w:val="24"/>
              </w:rPr>
            </w:pPr>
          </w:p>
        </w:tc>
        <w:tc>
          <w:tcPr>
            <w:tcW w:w="681" w:type="dxa"/>
            <w:noWrap w:val="0"/>
            <w:vAlign w:val="center"/>
          </w:tcPr>
          <w:p>
            <w:pPr>
              <w:spacing w:line="600" w:lineRule="exact"/>
              <w:jc w:val="center"/>
              <w:rPr>
                <w:rFonts w:hint="eastAsia" w:ascii="仿宋_GB2312" w:hAnsi="仿宋_GB2312" w:eastAsia="仿宋_GB2312" w:cs="仿宋_GB2312"/>
                <w:color w:val="auto"/>
                <w:sz w:val="24"/>
                <w:szCs w:val="24"/>
              </w:rPr>
            </w:pPr>
          </w:p>
        </w:tc>
        <w:tc>
          <w:tcPr>
            <w:tcW w:w="681" w:type="dxa"/>
            <w:noWrap w:val="0"/>
            <w:vAlign w:val="center"/>
          </w:tcPr>
          <w:p>
            <w:pPr>
              <w:spacing w:line="600" w:lineRule="exact"/>
              <w:jc w:val="center"/>
              <w:rPr>
                <w:rFonts w:hint="eastAsia" w:ascii="仿宋_GB2312" w:hAnsi="仿宋_GB2312" w:eastAsia="仿宋_GB2312" w:cs="仿宋_GB2312"/>
                <w:color w:val="auto"/>
                <w:sz w:val="24"/>
                <w:szCs w:val="24"/>
              </w:rPr>
            </w:pPr>
          </w:p>
        </w:tc>
        <w:tc>
          <w:tcPr>
            <w:tcW w:w="889" w:type="dxa"/>
            <w:noWrap w:val="0"/>
            <w:vAlign w:val="top"/>
          </w:tcPr>
          <w:p>
            <w:pPr>
              <w:spacing w:line="600" w:lineRule="exact"/>
              <w:jc w:val="center"/>
              <w:rPr>
                <w:rFonts w:hint="eastAsia" w:ascii="仿宋_GB2312" w:hAnsi="仿宋_GB2312" w:eastAsia="仿宋_GB2312" w:cs="仿宋_GB2312"/>
                <w:color w:val="auto"/>
                <w:sz w:val="24"/>
                <w:szCs w:val="24"/>
              </w:rPr>
            </w:pPr>
          </w:p>
        </w:tc>
        <w:tc>
          <w:tcPr>
            <w:tcW w:w="990" w:type="dxa"/>
            <w:noWrap w:val="0"/>
            <w:vAlign w:val="center"/>
          </w:tcPr>
          <w:p>
            <w:pPr>
              <w:spacing w:line="600" w:lineRule="exact"/>
              <w:jc w:val="center"/>
              <w:rPr>
                <w:rFonts w:hint="eastAsia" w:ascii="仿宋_GB2312" w:hAnsi="仿宋_GB2312" w:eastAsia="仿宋_GB2312" w:cs="仿宋_GB2312"/>
                <w:color w:val="auto"/>
                <w:sz w:val="24"/>
                <w:szCs w:val="24"/>
              </w:rPr>
            </w:pPr>
          </w:p>
        </w:tc>
        <w:tc>
          <w:tcPr>
            <w:tcW w:w="1310" w:type="dxa"/>
            <w:vMerge w:val="restart"/>
            <w:noWrap w:val="0"/>
            <w:vAlign w:val="center"/>
          </w:tcPr>
          <w:p>
            <w:pPr>
              <w:spacing w:line="600" w:lineRule="exact"/>
              <w:jc w:val="right"/>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526" w:type="dxa"/>
            <w:noWrap w:val="0"/>
            <w:vAlign w:val="center"/>
          </w:tcPr>
          <w:p>
            <w:pPr>
              <w:spacing w:line="600" w:lineRule="exact"/>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2</w:t>
            </w:r>
          </w:p>
        </w:tc>
        <w:tc>
          <w:tcPr>
            <w:tcW w:w="1511" w:type="dxa"/>
            <w:noWrap w:val="0"/>
            <w:vAlign w:val="center"/>
          </w:tcPr>
          <w:p>
            <w:pPr>
              <w:spacing w:line="600" w:lineRule="exact"/>
              <w:jc w:val="center"/>
              <w:rPr>
                <w:rFonts w:hint="eastAsia" w:ascii="仿宋_GB2312" w:hAnsi="仿宋_GB2312" w:eastAsia="仿宋_GB2312" w:cs="仿宋_GB2312"/>
                <w:color w:val="auto"/>
                <w:sz w:val="24"/>
                <w:szCs w:val="24"/>
              </w:rPr>
            </w:pPr>
          </w:p>
        </w:tc>
        <w:tc>
          <w:tcPr>
            <w:tcW w:w="1584" w:type="dxa"/>
            <w:noWrap w:val="0"/>
            <w:vAlign w:val="center"/>
          </w:tcPr>
          <w:p>
            <w:pPr>
              <w:spacing w:line="600" w:lineRule="exact"/>
              <w:rPr>
                <w:rFonts w:hint="eastAsia" w:ascii="仿宋_GB2312" w:hAnsi="仿宋_GB2312" w:eastAsia="仿宋_GB2312" w:cs="仿宋_GB2312"/>
                <w:color w:val="auto"/>
                <w:sz w:val="24"/>
                <w:szCs w:val="24"/>
              </w:rPr>
            </w:pPr>
          </w:p>
        </w:tc>
        <w:tc>
          <w:tcPr>
            <w:tcW w:w="1142" w:type="dxa"/>
            <w:noWrap w:val="0"/>
            <w:vAlign w:val="center"/>
          </w:tcPr>
          <w:p>
            <w:pPr>
              <w:spacing w:line="600" w:lineRule="exact"/>
              <w:rPr>
                <w:rFonts w:hint="eastAsia" w:ascii="仿宋_GB2312" w:hAnsi="仿宋_GB2312" w:eastAsia="仿宋_GB2312" w:cs="仿宋_GB2312"/>
                <w:color w:val="auto"/>
                <w:sz w:val="24"/>
                <w:szCs w:val="24"/>
              </w:rPr>
            </w:pPr>
          </w:p>
        </w:tc>
        <w:tc>
          <w:tcPr>
            <w:tcW w:w="681" w:type="dxa"/>
            <w:noWrap w:val="0"/>
            <w:vAlign w:val="center"/>
          </w:tcPr>
          <w:p>
            <w:pPr>
              <w:spacing w:line="600" w:lineRule="exact"/>
              <w:jc w:val="center"/>
              <w:rPr>
                <w:rFonts w:hint="eastAsia" w:ascii="仿宋_GB2312" w:hAnsi="仿宋_GB2312" w:eastAsia="仿宋_GB2312" w:cs="仿宋_GB2312"/>
                <w:color w:val="auto"/>
                <w:sz w:val="24"/>
                <w:szCs w:val="24"/>
              </w:rPr>
            </w:pPr>
          </w:p>
        </w:tc>
        <w:tc>
          <w:tcPr>
            <w:tcW w:w="681" w:type="dxa"/>
            <w:noWrap w:val="0"/>
            <w:vAlign w:val="center"/>
          </w:tcPr>
          <w:p>
            <w:pPr>
              <w:spacing w:line="600" w:lineRule="exact"/>
              <w:jc w:val="center"/>
              <w:rPr>
                <w:rFonts w:hint="eastAsia" w:ascii="仿宋_GB2312" w:hAnsi="仿宋_GB2312" w:eastAsia="仿宋_GB2312" w:cs="仿宋_GB2312"/>
                <w:color w:val="auto"/>
                <w:sz w:val="24"/>
                <w:szCs w:val="24"/>
              </w:rPr>
            </w:pPr>
          </w:p>
        </w:tc>
        <w:tc>
          <w:tcPr>
            <w:tcW w:w="889" w:type="dxa"/>
            <w:noWrap w:val="0"/>
            <w:vAlign w:val="top"/>
          </w:tcPr>
          <w:p>
            <w:pPr>
              <w:spacing w:line="600" w:lineRule="exact"/>
              <w:jc w:val="center"/>
              <w:rPr>
                <w:rFonts w:hint="eastAsia" w:ascii="仿宋_GB2312" w:hAnsi="仿宋_GB2312" w:eastAsia="仿宋_GB2312" w:cs="仿宋_GB2312"/>
                <w:color w:val="auto"/>
                <w:sz w:val="24"/>
                <w:szCs w:val="24"/>
              </w:rPr>
            </w:pPr>
          </w:p>
        </w:tc>
        <w:tc>
          <w:tcPr>
            <w:tcW w:w="990" w:type="dxa"/>
            <w:noWrap w:val="0"/>
            <w:vAlign w:val="center"/>
          </w:tcPr>
          <w:p>
            <w:pPr>
              <w:spacing w:line="600" w:lineRule="exact"/>
              <w:jc w:val="center"/>
              <w:rPr>
                <w:rFonts w:hint="eastAsia" w:ascii="仿宋_GB2312" w:hAnsi="仿宋_GB2312" w:eastAsia="仿宋_GB2312" w:cs="仿宋_GB2312"/>
                <w:color w:val="auto"/>
                <w:sz w:val="24"/>
                <w:szCs w:val="24"/>
              </w:rPr>
            </w:pPr>
          </w:p>
        </w:tc>
        <w:tc>
          <w:tcPr>
            <w:tcW w:w="1310" w:type="dxa"/>
            <w:vMerge w:val="continue"/>
            <w:noWrap w:val="0"/>
            <w:vAlign w:val="center"/>
          </w:tcPr>
          <w:p>
            <w:pPr>
              <w:spacing w:line="600" w:lineRule="exact"/>
              <w:jc w:val="right"/>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526" w:type="dxa"/>
            <w:noWrap w:val="0"/>
            <w:vAlign w:val="center"/>
          </w:tcPr>
          <w:p>
            <w:pPr>
              <w:spacing w:line="600" w:lineRule="exact"/>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3</w:t>
            </w:r>
          </w:p>
        </w:tc>
        <w:tc>
          <w:tcPr>
            <w:tcW w:w="1511" w:type="dxa"/>
            <w:noWrap w:val="0"/>
            <w:vAlign w:val="center"/>
          </w:tcPr>
          <w:p>
            <w:pPr>
              <w:spacing w:line="600" w:lineRule="exact"/>
              <w:jc w:val="center"/>
              <w:rPr>
                <w:rFonts w:hint="eastAsia" w:ascii="仿宋_GB2312" w:hAnsi="仿宋_GB2312" w:eastAsia="仿宋_GB2312" w:cs="仿宋_GB2312"/>
                <w:color w:val="auto"/>
                <w:sz w:val="24"/>
                <w:szCs w:val="24"/>
              </w:rPr>
            </w:pPr>
          </w:p>
        </w:tc>
        <w:tc>
          <w:tcPr>
            <w:tcW w:w="1584" w:type="dxa"/>
            <w:noWrap w:val="0"/>
            <w:vAlign w:val="center"/>
          </w:tcPr>
          <w:p>
            <w:pPr>
              <w:spacing w:line="600" w:lineRule="exact"/>
              <w:rPr>
                <w:rFonts w:hint="eastAsia" w:ascii="仿宋_GB2312" w:hAnsi="仿宋_GB2312" w:eastAsia="仿宋_GB2312" w:cs="仿宋_GB2312"/>
                <w:color w:val="auto"/>
                <w:sz w:val="24"/>
                <w:szCs w:val="24"/>
              </w:rPr>
            </w:pPr>
          </w:p>
        </w:tc>
        <w:tc>
          <w:tcPr>
            <w:tcW w:w="1142" w:type="dxa"/>
            <w:noWrap w:val="0"/>
            <w:vAlign w:val="center"/>
          </w:tcPr>
          <w:p>
            <w:pPr>
              <w:spacing w:line="600" w:lineRule="exact"/>
              <w:rPr>
                <w:rFonts w:hint="eastAsia" w:ascii="仿宋_GB2312" w:hAnsi="仿宋_GB2312" w:eastAsia="仿宋_GB2312" w:cs="仿宋_GB2312"/>
                <w:color w:val="auto"/>
                <w:sz w:val="24"/>
                <w:szCs w:val="24"/>
              </w:rPr>
            </w:pPr>
          </w:p>
        </w:tc>
        <w:tc>
          <w:tcPr>
            <w:tcW w:w="681" w:type="dxa"/>
            <w:noWrap w:val="0"/>
            <w:vAlign w:val="center"/>
          </w:tcPr>
          <w:p>
            <w:pPr>
              <w:spacing w:line="600" w:lineRule="exact"/>
              <w:jc w:val="center"/>
              <w:rPr>
                <w:rFonts w:hint="eastAsia" w:ascii="仿宋_GB2312" w:hAnsi="仿宋_GB2312" w:eastAsia="仿宋_GB2312" w:cs="仿宋_GB2312"/>
                <w:color w:val="auto"/>
                <w:sz w:val="24"/>
                <w:szCs w:val="24"/>
              </w:rPr>
            </w:pPr>
          </w:p>
        </w:tc>
        <w:tc>
          <w:tcPr>
            <w:tcW w:w="681" w:type="dxa"/>
            <w:noWrap w:val="0"/>
            <w:vAlign w:val="center"/>
          </w:tcPr>
          <w:p>
            <w:pPr>
              <w:spacing w:line="600" w:lineRule="exact"/>
              <w:jc w:val="center"/>
              <w:rPr>
                <w:rFonts w:hint="eastAsia" w:ascii="仿宋_GB2312" w:hAnsi="仿宋_GB2312" w:eastAsia="仿宋_GB2312" w:cs="仿宋_GB2312"/>
                <w:color w:val="auto"/>
                <w:sz w:val="24"/>
                <w:szCs w:val="24"/>
              </w:rPr>
            </w:pPr>
          </w:p>
        </w:tc>
        <w:tc>
          <w:tcPr>
            <w:tcW w:w="889" w:type="dxa"/>
            <w:noWrap w:val="0"/>
            <w:vAlign w:val="top"/>
          </w:tcPr>
          <w:p>
            <w:pPr>
              <w:spacing w:line="600" w:lineRule="exact"/>
              <w:jc w:val="center"/>
              <w:rPr>
                <w:rFonts w:hint="eastAsia" w:ascii="仿宋_GB2312" w:hAnsi="仿宋_GB2312" w:eastAsia="仿宋_GB2312" w:cs="仿宋_GB2312"/>
                <w:color w:val="auto"/>
                <w:sz w:val="24"/>
                <w:szCs w:val="24"/>
              </w:rPr>
            </w:pPr>
          </w:p>
        </w:tc>
        <w:tc>
          <w:tcPr>
            <w:tcW w:w="990" w:type="dxa"/>
            <w:noWrap w:val="0"/>
            <w:vAlign w:val="center"/>
          </w:tcPr>
          <w:p>
            <w:pPr>
              <w:spacing w:line="600" w:lineRule="exact"/>
              <w:jc w:val="center"/>
              <w:rPr>
                <w:rFonts w:hint="eastAsia" w:ascii="仿宋_GB2312" w:hAnsi="仿宋_GB2312" w:eastAsia="仿宋_GB2312" w:cs="仿宋_GB2312"/>
                <w:color w:val="auto"/>
                <w:sz w:val="24"/>
                <w:szCs w:val="24"/>
              </w:rPr>
            </w:pPr>
          </w:p>
        </w:tc>
        <w:tc>
          <w:tcPr>
            <w:tcW w:w="1310" w:type="dxa"/>
            <w:vMerge w:val="continue"/>
            <w:noWrap w:val="0"/>
            <w:vAlign w:val="center"/>
          </w:tcPr>
          <w:p>
            <w:pPr>
              <w:spacing w:line="600" w:lineRule="exact"/>
              <w:jc w:val="right"/>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526" w:type="dxa"/>
            <w:noWrap w:val="0"/>
            <w:vAlign w:val="center"/>
          </w:tcPr>
          <w:p>
            <w:pPr>
              <w:spacing w:line="600" w:lineRule="exact"/>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4</w:t>
            </w:r>
          </w:p>
        </w:tc>
        <w:tc>
          <w:tcPr>
            <w:tcW w:w="1511" w:type="dxa"/>
            <w:noWrap w:val="0"/>
            <w:vAlign w:val="center"/>
          </w:tcPr>
          <w:p>
            <w:pPr>
              <w:spacing w:line="600" w:lineRule="exact"/>
              <w:jc w:val="center"/>
              <w:rPr>
                <w:rFonts w:hint="eastAsia" w:ascii="仿宋_GB2312" w:hAnsi="仿宋_GB2312" w:eastAsia="仿宋_GB2312" w:cs="仿宋_GB2312"/>
                <w:color w:val="auto"/>
                <w:sz w:val="24"/>
                <w:szCs w:val="24"/>
              </w:rPr>
            </w:pPr>
          </w:p>
        </w:tc>
        <w:tc>
          <w:tcPr>
            <w:tcW w:w="1584" w:type="dxa"/>
            <w:noWrap w:val="0"/>
            <w:vAlign w:val="center"/>
          </w:tcPr>
          <w:p>
            <w:pPr>
              <w:spacing w:line="600" w:lineRule="exact"/>
              <w:rPr>
                <w:rFonts w:hint="eastAsia" w:ascii="仿宋_GB2312" w:hAnsi="仿宋_GB2312" w:eastAsia="仿宋_GB2312" w:cs="仿宋_GB2312"/>
                <w:color w:val="auto"/>
                <w:sz w:val="24"/>
                <w:szCs w:val="24"/>
              </w:rPr>
            </w:pPr>
          </w:p>
        </w:tc>
        <w:tc>
          <w:tcPr>
            <w:tcW w:w="1142" w:type="dxa"/>
            <w:noWrap w:val="0"/>
            <w:vAlign w:val="center"/>
          </w:tcPr>
          <w:p>
            <w:pPr>
              <w:spacing w:line="600" w:lineRule="exact"/>
              <w:rPr>
                <w:rFonts w:hint="eastAsia" w:ascii="仿宋_GB2312" w:hAnsi="仿宋_GB2312" w:eastAsia="仿宋_GB2312" w:cs="仿宋_GB2312"/>
                <w:color w:val="auto"/>
                <w:sz w:val="24"/>
                <w:szCs w:val="24"/>
              </w:rPr>
            </w:pPr>
          </w:p>
        </w:tc>
        <w:tc>
          <w:tcPr>
            <w:tcW w:w="681" w:type="dxa"/>
            <w:noWrap w:val="0"/>
            <w:vAlign w:val="center"/>
          </w:tcPr>
          <w:p>
            <w:pPr>
              <w:spacing w:line="600" w:lineRule="exact"/>
              <w:jc w:val="center"/>
              <w:rPr>
                <w:rFonts w:hint="eastAsia" w:ascii="仿宋_GB2312" w:hAnsi="仿宋_GB2312" w:eastAsia="仿宋_GB2312" w:cs="仿宋_GB2312"/>
                <w:color w:val="auto"/>
                <w:sz w:val="24"/>
                <w:szCs w:val="24"/>
              </w:rPr>
            </w:pPr>
          </w:p>
        </w:tc>
        <w:tc>
          <w:tcPr>
            <w:tcW w:w="681" w:type="dxa"/>
            <w:noWrap w:val="0"/>
            <w:vAlign w:val="center"/>
          </w:tcPr>
          <w:p>
            <w:pPr>
              <w:spacing w:line="600" w:lineRule="exact"/>
              <w:jc w:val="center"/>
              <w:rPr>
                <w:rFonts w:hint="eastAsia" w:ascii="仿宋_GB2312" w:hAnsi="仿宋_GB2312" w:eastAsia="仿宋_GB2312" w:cs="仿宋_GB2312"/>
                <w:color w:val="auto"/>
                <w:sz w:val="24"/>
                <w:szCs w:val="24"/>
              </w:rPr>
            </w:pPr>
          </w:p>
        </w:tc>
        <w:tc>
          <w:tcPr>
            <w:tcW w:w="889" w:type="dxa"/>
            <w:noWrap w:val="0"/>
            <w:vAlign w:val="top"/>
          </w:tcPr>
          <w:p>
            <w:pPr>
              <w:spacing w:line="600" w:lineRule="exact"/>
              <w:jc w:val="center"/>
              <w:rPr>
                <w:rFonts w:hint="eastAsia" w:ascii="仿宋_GB2312" w:hAnsi="仿宋_GB2312" w:eastAsia="仿宋_GB2312" w:cs="仿宋_GB2312"/>
                <w:color w:val="auto"/>
                <w:sz w:val="24"/>
                <w:szCs w:val="24"/>
              </w:rPr>
            </w:pPr>
          </w:p>
        </w:tc>
        <w:tc>
          <w:tcPr>
            <w:tcW w:w="990" w:type="dxa"/>
            <w:noWrap w:val="0"/>
            <w:vAlign w:val="center"/>
          </w:tcPr>
          <w:p>
            <w:pPr>
              <w:spacing w:line="600" w:lineRule="exact"/>
              <w:jc w:val="center"/>
              <w:rPr>
                <w:rFonts w:hint="eastAsia" w:ascii="仿宋_GB2312" w:hAnsi="仿宋_GB2312" w:eastAsia="仿宋_GB2312" w:cs="仿宋_GB2312"/>
                <w:color w:val="auto"/>
                <w:sz w:val="24"/>
                <w:szCs w:val="24"/>
              </w:rPr>
            </w:pPr>
          </w:p>
        </w:tc>
        <w:tc>
          <w:tcPr>
            <w:tcW w:w="1310" w:type="dxa"/>
            <w:vMerge w:val="continue"/>
            <w:noWrap w:val="0"/>
            <w:vAlign w:val="center"/>
          </w:tcPr>
          <w:p>
            <w:pPr>
              <w:spacing w:line="600" w:lineRule="exact"/>
              <w:jc w:val="right"/>
              <w:rPr>
                <w:rFonts w:hint="eastAsia" w:ascii="仿宋_GB2312" w:hAnsi="仿宋_GB2312" w:eastAsia="仿宋_GB2312" w:cs="仿宋_GB2312"/>
                <w:color w:val="auto"/>
                <w:sz w:val="24"/>
                <w:szCs w:val="24"/>
              </w:rPr>
            </w:pPr>
          </w:p>
        </w:tc>
      </w:tr>
    </w:tbl>
    <w:p>
      <w:pPr>
        <w:spacing w:line="600" w:lineRule="exact"/>
        <w:ind w:left="243" w:leftChars="76" w:firstLine="240" w:firstLineChars="10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总价应包含：上述货物以及相关税费等一切费用。</w:t>
      </w:r>
    </w:p>
    <w:p>
      <w:pPr>
        <w:spacing w:line="600" w:lineRule="exact"/>
        <w:ind w:firstLine="480" w:firstLineChars="20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报价总价超过最高限价的，视为无效报价。</w:t>
      </w:r>
    </w:p>
    <w:p>
      <w:pPr>
        <w:spacing w:line="600" w:lineRule="exact"/>
        <w:ind w:firstLine="480" w:firstLineChars="200"/>
        <w:rPr>
          <w:rFonts w:hint="eastAsia" w:ascii="仿宋_GB2312" w:hAnsi="仿宋_GB2312" w:eastAsia="仿宋_GB2312" w:cs="仿宋_GB2312"/>
          <w:color w:val="auto"/>
          <w:sz w:val="24"/>
          <w:szCs w:val="24"/>
        </w:rPr>
      </w:pPr>
    </w:p>
    <w:p>
      <w:pPr>
        <w:spacing w:line="600" w:lineRule="exact"/>
        <w:ind w:firstLine="480" w:firstLineChars="20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合计总价：</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元（大写）</w:t>
      </w:r>
    </w:p>
    <w:p>
      <w:pPr>
        <w:spacing w:line="600" w:lineRule="exact"/>
        <w:ind w:firstLine="1680" w:firstLineChars="70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元（小写）</w:t>
      </w:r>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大标宋简体">
    <w:altName w:val="微软雅黑"/>
    <w:panose1 w:val="02010601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662649"/>
    <w:rsid w:val="05A00ED1"/>
    <w:rsid w:val="19662649"/>
    <w:rsid w:val="2F81165F"/>
    <w:rsid w:val="3112355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3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Fließtext"/>
    <w:basedOn w:val="1"/>
    <w:qFormat/>
    <w:uiPriority w:val="0"/>
    <w:pPr>
      <w:overflowPunct w:val="0"/>
      <w:autoSpaceDE w:val="0"/>
      <w:autoSpaceDN w:val="0"/>
      <w:adjustRightInd w:val="0"/>
      <w:textAlignment w:val="baseline"/>
    </w:pPr>
    <w:rPr>
      <w:kern w:val="28"/>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Office_11.8.2.11019_F1E327BC-269C-435d-A152-05C5408002CA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2024-12-17T02:16:00Z</dcterms:created>
  <dc:creator>86139</dc:creator>
  <cp:lastModifiedBy>86139</cp:lastModifiedBy>
  <dcterms:modified xsi:type="dcterms:W3CDTF">2024-12-25T01:19:24Z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2052-11.8.2.11019</vt:lpwstr>
  </property>
  <property fmtid="{D5CDD505-2E9C-101B-9397-08002B2CF9AE}" pid="3" name="ICV">
    <vt:lpwstr>68742BEB998A46D596B7F5E5A415E847</vt:lpwstr>
  </property>
</Properties>
</file>